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uppressAutoHyphens w:val="true"/>
        <w:ind w:left="0" w:right="0" w:hanging="0"/>
        <w:jc w:val="right"/>
        <w:outlineLvl w:val="0"/>
        <w:rPr>
          <w:bCs/>
          <w:kern w:val="2"/>
          <w:sz w:val="24"/>
        </w:rPr>
      </w:pPr>
      <w:r>
        <w:rPr>
          <w:bCs/>
          <w:kern w:val="2"/>
          <w:sz w:val="24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требования на выполнение работ</w:t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bidi w:val="0"/>
        <w:jc w:val="center"/>
        <w:rPr>
          <w:sz w:val="24"/>
          <w:szCs w:val="24"/>
        </w:rPr>
      </w:pP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ОКПД2-42.99.29.100 — Выполнение работ (включая поставку) по монтажу системы охранного телевидения по объекту «Строительство емкостного парка 100м3 АДЭС Марха, Олекминского улуса»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sz w:val="24"/>
          <w:szCs w:val="24"/>
        </w:rPr>
      </w:pPr>
      <w:r>
        <w:rPr>
          <w:rFonts w:eastAsia="Calibri"/>
          <w:b/>
          <w:i w:val="false"/>
          <w:iCs w:val="false"/>
          <w:sz w:val="24"/>
          <w:szCs w:val="24"/>
          <w:shd w:fill="auto" w:val="clear"/>
        </w:rPr>
        <w:t>Л</w:t>
      </w:r>
      <w:r>
        <w:rPr>
          <w:rFonts w:eastAsia="Calibri"/>
          <w:b/>
          <w:bCs/>
          <w:i w:val="false"/>
          <w:iCs w:val="false"/>
          <w:sz w:val="24"/>
          <w:szCs w:val="24"/>
          <w:shd w:fill="auto" w:val="clear"/>
        </w:rPr>
        <w:t xml:space="preserve">от № </w:t>
      </w:r>
      <w:r>
        <w:rPr>
          <w:rFonts w:eastAsia="Calibri"/>
          <w:b/>
          <w:bCs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47701-КС ПРОЧ-2026-СахаЭ</w:t>
      </w:r>
    </w:p>
    <w:p>
      <w:pPr>
        <w:pStyle w:val="Normal"/>
        <w:jc w:val="center"/>
        <w:rPr>
          <w:shd w:fill="auto" w:val="clear"/>
        </w:rPr>
      </w:pPr>
      <w:r>
        <w:rPr>
          <w:shd w:fill="auto" w:val="clear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</w:p>
    <w:p>
      <w:pPr>
        <w:pStyle w:val="Normal"/>
        <w:keepNext w:val="true"/>
        <w:keepLines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2832" w:right="0" w:firstLine="708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2832" w:right="0" w:firstLine="708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4395" w:right="0" w:hanging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2832" w:right="0" w:firstLine="708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2832" w:right="0" w:firstLine="708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/>
          </w:pPr>
          <w:r>
            <w:fldChar w:fldCharType="begin"/>
          </w:r>
          <w:r>
            <w:rPr>
              <w:rStyle w:val="Style15"/>
              <w:sz w:val="24"/>
              <w:szCs w:val="24"/>
              <w:vanish w:val="false"/>
            </w:rPr>
            <w:instrText xml:space="preserve"> TOC \o "1-4" \h</w:instrText>
          </w:r>
          <w:r>
            <w:rPr>
              <w:rStyle w:val="Style15"/>
              <w:sz w:val="24"/>
              <w:szCs w:val="24"/>
              <w:vanish w:val="false"/>
            </w:rPr>
            <w:fldChar w:fldCharType="separate"/>
          </w:r>
          <w:hyperlink w:anchor="_Toc124252887">
            <w:r>
              <w:rPr>
                <w:rStyle w:val="Style15"/>
                <w:vanish w:val="false"/>
                <w:sz w:val="24"/>
                <w:szCs w:val="24"/>
              </w:rPr>
              <w:t>1.</w:t>
            </w:r>
            <w:r>
              <w:rPr>
                <w:rStyle w:val="Style15"/>
                <w:b w:val="false"/>
                <w:bCs w:val="false"/>
                <w:sz w:val="24"/>
                <w:szCs w:val="24"/>
              </w:rPr>
              <w:tab/>
            </w:r>
            <w:r>
              <w:rPr>
                <w:rStyle w:val="Style15"/>
                <w:sz w:val="24"/>
                <w:szCs w:val="24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_Toc124252887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/>
          </w:pPr>
          <w:hyperlink w:anchor="_Toc124252889">
            <w:r>
              <w:rPr>
                <w:rStyle w:val="Style15"/>
                <w:iCs/>
                <w:vanish w:val="false"/>
                <w:sz w:val="24"/>
                <w:szCs w:val="24"/>
              </w:rPr>
              <w:t>1.1.</w:t>
            </w:r>
            <w:r>
              <w:rPr>
                <w:rStyle w:val="Style15"/>
                <w:sz w:val="24"/>
                <w:szCs w:val="24"/>
              </w:rPr>
              <w:tab/>
              <w:t>Наименование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_Toc124252889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  <w:sz w:val="24"/>
                <w:szCs w:val="2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/>
          </w:pPr>
          <w:hyperlink w:anchor="_Toc124252890">
            <w:r>
              <w:rPr>
                <w:rStyle w:val="Style15"/>
                <w:iCs/>
                <w:vanish w:val="false"/>
                <w:sz w:val="24"/>
                <w:szCs w:val="24"/>
              </w:rPr>
              <w:t>1.2.</w:t>
            </w:r>
            <w:r>
              <w:rPr>
                <w:rStyle w:val="Style15"/>
                <w:sz w:val="24"/>
                <w:szCs w:val="24"/>
              </w:rPr>
              <w:tab/>
              <w:t>Цель выполнения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_Toc124252890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  <w:sz w:val="24"/>
                <w:szCs w:val="2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/>
          </w:pPr>
          <w:hyperlink w:anchor="_Toc124252891">
            <w:r>
              <w:rPr>
                <w:rStyle w:val="Style15"/>
                <w:iCs/>
                <w:vanish w:val="false"/>
                <w:sz w:val="24"/>
                <w:szCs w:val="24"/>
              </w:rPr>
              <w:t>1.3.</w:t>
            </w:r>
            <w:r>
              <w:rPr>
                <w:rStyle w:val="Style15"/>
                <w:sz w:val="24"/>
                <w:szCs w:val="24"/>
              </w:rPr>
              <w:tab/>
              <w:t>Существующее положение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_Toc124252891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  <w:sz w:val="24"/>
                <w:szCs w:val="2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/>
          </w:pPr>
          <w:hyperlink w:anchor="_Toc12425289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_Toc124252892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  <w:sz w:val="24"/>
                <w:szCs w:val="24"/>
              </w:rPr>
              <w:t>Таблица 1. Перечень объектов заказчика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/>
          </w:pPr>
          <w:hyperlink w:anchor="_Toc124252893">
            <w:r>
              <w:rPr>
                <w:rStyle w:val="Style15"/>
                <w:iCs/>
                <w:vanish w:val="false"/>
                <w:sz w:val="24"/>
                <w:szCs w:val="24"/>
              </w:rPr>
              <w:t>1.5.</w:t>
            </w:r>
            <w:r>
              <w:rPr>
                <w:rStyle w:val="Style15"/>
                <w:sz w:val="24"/>
                <w:szCs w:val="24"/>
              </w:rPr>
              <w:tab/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_Toc124252893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  <w:sz w:val="24"/>
                <w:szCs w:val="2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/>
          </w:pPr>
          <w:hyperlink w:anchor="_Toc124252894">
            <w:r>
              <w:rPr>
                <w:rStyle w:val="Style15"/>
                <w:iCs/>
                <w:vanish w:val="false"/>
                <w:sz w:val="24"/>
                <w:szCs w:val="24"/>
              </w:rPr>
              <w:t>1.6.</w:t>
            </w:r>
            <w:r>
              <w:rPr>
                <w:rStyle w:val="Style15"/>
                <w:sz w:val="24"/>
                <w:szCs w:val="24"/>
              </w:rPr>
              <w:tab/>
              <w:t>Иные требования и сведения общего характера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_Toc124252894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  <w:sz w:val="24"/>
                <w:szCs w:val="24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/>
          </w:pPr>
          <w:hyperlink w:anchor="_Toc124252895">
            <w:r>
              <w:rPr>
                <w:rStyle w:val="Style15"/>
                <w:vanish w:val="false"/>
                <w:sz w:val="24"/>
                <w:szCs w:val="24"/>
              </w:rPr>
              <w:t>2.</w:t>
            </w:r>
            <w:r>
              <w:rPr>
                <w:rStyle w:val="Style15"/>
                <w:b w:val="false"/>
                <w:bCs w:val="false"/>
                <w:sz w:val="24"/>
                <w:szCs w:val="24"/>
              </w:rPr>
              <w:tab/>
            </w:r>
            <w:r>
              <w:rPr>
                <w:rStyle w:val="Style15"/>
                <w:iCs/>
                <w:sz w:val="24"/>
                <w:szCs w:val="24"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_Toc124252895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/>
          </w:pPr>
          <w:hyperlink w:anchor="_Toc124252896">
            <w:r>
              <w:rPr>
                <w:rStyle w:val="Style15"/>
                <w:iCs/>
                <w:vanish w:val="false"/>
                <w:sz w:val="24"/>
                <w:szCs w:val="24"/>
              </w:rPr>
              <w:t>2.1.</w:t>
            </w:r>
            <w:r>
              <w:rPr>
                <w:rStyle w:val="Style15"/>
                <w:sz w:val="24"/>
                <w:szCs w:val="24"/>
              </w:rPr>
              <w:tab/>
              <w:t>Требования к объемам и срокам выполнения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_Toc124252896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/>
          </w:pPr>
          <w:hyperlink w:anchor="_Toc124252897">
            <w:r>
              <w:rPr>
                <w:rStyle w:val="Style15"/>
                <w:vanish w:val="false"/>
                <w:sz w:val="24"/>
                <w:szCs w:val="24"/>
              </w:rPr>
              <w:t>2.1.1.</w:t>
            </w:r>
            <w:r>
              <w:rPr>
                <w:rStyle w:val="Style15"/>
                <w:sz w:val="24"/>
                <w:szCs w:val="24"/>
              </w:rPr>
              <w:tab/>
              <w:t>Требования к видам и объемам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_Toc124252897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/>
          </w:pPr>
          <w:hyperlink w:anchor="_Toc12425289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_Toc124252898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  <w:sz w:val="24"/>
                <w:szCs w:val="24"/>
              </w:rPr>
              <w:t>Таблица 2. Перечень и объем выполняемых работ</w:t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/>
          </w:pPr>
          <w:hyperlink w:anchor="_Toc124252899">
            <w:r>
              <w:rPr>
                <w:rStyle w:val="Style15"/>
                <w:vanish w:val="false"/>
                <w:sz w:val="24"/>
                <w:szCs w:val="24"/>
              </w:rPr>
              <w:t>2.1.2.</w:t>
            </w:r>
            <w:r>
              <w:rPr>
                <w:rStyle w:val="Style15"/>
                <w:sz w:val="24"/>
                <w:szCs w:val="24"/>
              </w:rPr>
              <w:tab/>
              <w:t>Требования к срокам выполнения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_Toc124252899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  <w:sz w:val="24"/>
                <w:szCs w:val="24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/>
          </w:pPr>
          <w:hyperlink w:anchor="_Toc12425290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_Toc124252900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  <w:sz w:val="24"/>
                <w:szCs w:val="24"/>
              </w:rPr>
              <w:t>Таблица 3. Требования по срокам выполнения работ</w:t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/>
          </w:pPr>
          <w:hyperlink w:anchor="_Toc124252901">
            <w:r>
              <w:rPr>
                <w:rStyle w:val="Style15"/>
                <w:iCs/>
                <w:vanish w:val="false"/>
                <w:sz w:val="24"/>
                <w:szCs w:val="24"/>
              </w:rPr>
              <w:t>2.2.</w:t>
            </w:r>
            <w:r>
              <w:rPr>
                <w:rStyle w:val="Style15"/>
                <w:sz w:val="24"/>
                <w:szCs w:val="24"/>
              </w:rPr>
              <w:tab/>
              <w:t>Требования к качеству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_Toc124252901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  <w:sz w:val="24"/>
                <w:szCs w:val="24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/>
          </w:pPr>
          <w:hyperlink w:anchor="_Toc12425290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_Toc124252902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  <w:sz w:val="24"/>
                <w:szCs w:val="24"/>
              </w:rPr>
              <w:t>Таблица 4. Требования к качеству работ</w:t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/>
          </w:pPr>
          <w:hyperlink w:anchor="_Toc124252914">
            <w:r>
              <w:rPr>
                <w:rStyle w:val="Style15"/>
                <w:vanish w:val="false"/>
                <w:sz w:val="24"/>
                <w:szCs w:val="24"/>
              </w:rPr>
              <w:t>3.</w:t>
            </w:r>
            <w:r>
              <w:rPr>
                <w:rStyle w:val="Style15"/>
                <w:b w:val="false"/>
                <w:bCs w:val="false"/>
                <w:sz w:val="24"/>
                <w:szCs w:val="24"/>
              </w:rPr>
              <w:tab/>
            </w:r>
            <w:r>
              <w:rPr>
                <w:rStyle w:val="Style15"/>
                <w:sz w:val="24"/>
                <w:szCs w:val="24"/>
              </w:rPr>
              <w:t>Требования к документации по ценообразованию на этапе закупки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_Toc124252914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  <w:sz w:val="24"/>
                <w:szCs w:val="24"/>
              </w:rPr>
              <w:tab/>
              <w:t>29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/>
          </w:pPr>
          <w:hyperlink w:anchor="_Toc124252915">
            <w:r>
              <w:rPr>
                <w:rStyle w:val="Style15"/>
                <w:vanish w:val="false"/>
                <w:sz w:val="24"/>
                <w:szCs w:val="24"/>
              </w:rPr>
              <w:t>4.</w:t>
            </w:r>
            <w:r>
              <w:rPr>
                <w:rStyle w:val="Style15"/>
                <w:b w:val="false"/>
                <w:bCs w:val="false"/>
                <w:sz w:val="24"/>
                <w:szCs w:val="24"/>
              </w:rPr>
              <w:tab/>
            </w:r>
            <w:r>
              <w:rPr>
                <w:rStyle w:val="Style15"/>
                <w:sz w:val="24"/>
                <w:szCs w:val="24"/>
              </w:rPr>
              <w:t>Требования к документации по ценообразованию на этапе заключения (исполнения) договора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_Toc124252915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  <w:sz w:val="24"/>
                <w:szCs w:val="24"/>
              </w:rPr>
              <w:tab/>
              <w:t>30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/>
          </w:pPr>
          <w:hyperlink w:anchor="_Toc124252916">
            <w:r>
              <w:rPr>
                <w:rStyle w:val="Style15"/>
                <w:vanish w:val="false"/>
                <w:sz w:val="24"/>
                <w:szCs w:val="24"/>
              </w:rPr>
              <w:t>5.</w:t>
            </w:r>
            <w:r>
              <w:rPr>
                <w:rStyle w:val="Style15"/>
                <w:b w:val="false"/>
                <w:bCs w:val="false"/>
                <w:sz w:val="24"/>
                <w:szCs w:val="24"/>
              </w:rPr>
              <w:tab/>
            </w:r>
            <w:r>
              <w:rPr>
                <w:rStyle w:val="Style15"/>
                <w:iCs/>
                <w:sz w:val="24"/>
                <w:szCs w:val="24"/>
              </w:rPr>
              <w:t>Приложения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_Toc124252916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  <w:sz w:val="24"/>
                <w:szCs w:val="24"/>
              </w:rPr>
              <w:tab/>
              <w:t>31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5"/>
              <w:sz w:val="24"/>
              <w:szCs w:val="24"/>
              <w:vanish w:val="false"/>
            </w:rPr>
            <w:fldChar w:fldCharType="end"/>
          </w:r>
        </w:p>
      </w:sdtContent>
    </w:sdt>
    <w:p>
      <w:pPr>
        <w:pStyle w:val="Heading2"/>
        <w:numPr>
          <w:ilvl w:val="0"/>
          <w:numId w:val="0"/>
        </w:numPr>
        <w:ind w:left="0" w:right="0" w:hanging="0"/>
        <w:rPr>
          <w:rFonts w:ascii="Times New Roman" w:hAnsi="Times New Roman"/>
          <w:b w:val="false"/>
          <w:i/>
          <w:i/>
          <w:sz w:val="24"/>
          <w:szCs w:val="24"/>
        </w:rPr>
      </w:pPr>
      <w:r>
        <w:rPr>
          <w:b w:val="false"/>
          <w:i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4"/>
        </w:numPr>
        <w:ind w:left="357" w:right="0" w:hanging="357"/>
        <w:jc w:val="center"/>
        <w:rPr>
          <w:rFonts w:ascii="Times New Roman" w:hAnsi="Times New Roman"/>
          <w:sz w:val="24"/>
          <w:szCs w:val="24"/>
        </w:rPr>
      </w:pPr>
      <w:bookmarkStart w:id="0" w:name="_Toc51339692"/>
      <w:bookmarkStart w:id="1" w:name="_Toc124252887"/>
      <w:r>
        <w:rPr>
          <w:sz w:val="24"/>
          <w:szCs w:val="24"/>
          <w:lang w:val="ru-RU"/>
        </w:rPr>
        <w:t>Общие сведения</w:t>
      </w:r>
      <w:bookmarkEnd w:id="0"/>
      <w:bookmarkEnd w:id="1"/>
    </w:p>
    <w:p>
      <w:pPr>
        <w:pStyle w:val="Heading4"/>
        <w:numPr>
          <w:ilvl w:val="1"/>
          <w:numId w:val="4"/>
        </w:numPr>
        <w:spacing w:lineRule="auto" w:line="240"/>
        <w:rPr>
          <w:rFonts w:ascii="Times New Roman" w:hAnsi="Times New Roman"/>
          <w:sz w:val="24"/>
          <w:szCs w:val="24"/>
        </w:rPr>
      </w:pPr>
      <w:bookmarkStart w:id="2" w:name="_Toc124252889"/>
      <w:bookmarkStart w:id="3" w:name="_Toc46743506"/>
      <w:r>
        <w:rPr>
          <w:sz w:val="24"/>
          <w:szCs w:val="24"/>
        </w:rPr>
        <w:t>Наименование закупаемой продукции</w:t>
      </w:r>
      <w:bookmarkEnd w:id="2"/>
      <w:bookmarkEnd w:id="3"/>
    </w:p>
    <w:p>
      <w:pPr>
        <w:pStyle w:val="Normal"/>
        <w:widowControl/>
        <w:suppressAutoHyphens w:val="true"/>
        <w:bidi w:val="0"/>
        <w:spacing w:before="0" w:after="0"/>
        <w:ind w:left="0" w:right="0" w:firstLine="567"/>
        <w:jc w:val="both"/>
        <w:rPr>
          <w:b/>
          <w:bCs/>
        </w:rPr>
      </w:pPr>
      <w:r>
        <w:rPr>
          <w:rStyle w:val="Style8"/>
          <w:rFonts w:eastAsia="Calibri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  <w:lang w:eastAsia="x-none"/>
        </w:rPr>
        <w:t>ОКПД2-42.99.29.100 — Выполнение работ (включая поставку) по монтажу системы охранного телевидения по объекту «Строительство емкостного парка 100м3 АДЭС Марха, Олекминского улуса».</w:t>
      </w:r>
    </w:p>
    <w:p>
      <w:pPr>
        <w:pStyle w:val="Heading4"/>
        <w:numPr>
          <w:ilvl w:val="1"/>
          <w:numId w:val="4"/>
        </w:numPr>
        <w:spacing w:lineRule="auto" w:line="240" w:before="240" w:after="60"/>
        <w:ind w:left="431" w:right="0" w:hanging="431"/>
        <w:rPr>
          <w:rFonts w:ascii="Times New Roman" w:hAnsi="Times New Roman"/>
          <w:sz w:val="24"/>
          <w:szCs w:val="24"/>
        </w:rPr>
      </w:pPr>
      <w:bookmarkStart w:id="4" w:name="_Toc124252890"/>
      <w:bookmarkStart w:id="5" w:name="_Toc46743507"/>
      <w:r>
        <w:rPr>
          <w:sz w:val="24"/>
          <w:szCs w:val="24"/>
        </w:rPr>
        <w:t xml:space="preserve">Цель </w:t>
      </w:r>
      <w:bookmarkEnd w:id="5"/>
      <w:r>
        <w:rPr>
          <w:sz w:val="24"/>
          <w:szCs w:val="24"/>
          <w:lang w:val="ru-RU"/>
        </w:rPr>
        <w:t>выполнения работ</w:t>
      </w:r>
      <w:bookmarkEnd w:id="4"/>
    </w:p>
    <w:p>
      <w:pPr>
        <w:pStyle w:val="Normal"/>
        <w:widowControl/>
        <w:suppressAutoHyphens w:val="true"/>
        <w:bidi w:val="0"/>
        <w:spacing w:lineRule="auto" w:line="240" w:before="240" w:after="60"/>
        <w:ind w:left="0" w:right="0" w:firstLine="567"/>
        <w:jc w:val="both"/>
        <w:rPr/>
      </w:pPr>
      <w:r>
        <w:rPr>
          <w:rStyle w:val="Style8"/>
          <w:rFonts w:eastAsia="Calibri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  <w:lang w:val="ru-RU" w:eastAsia="x-none"/>
        </w:rPr>
        <w:t>Выполнение работ (включая поставку) по монтажу системы охранного телевидения по объекту: «Строительство емкостного парка 100м3 АДЭС Марха, Олекминского улуса» (входит в состав АДЭС-84 кВт в с. Марха Олекминского улуса).</w:t>
      </w:r>
    </w:p>
    <w:p>
      <w:pPr>
        <w:pStyle w:val="Heading4"/>
        <w:numPr>
          <w:ilvl w:val="1"/>
          <w:numId w:val="4"/>
        </w:numPr>
        <w:spacing w:lineRule="auto" w:line="240"/>
        <w:rPr>
          <w:rFonts w:ascii="Times New Roman" w:hAnsi="Times New Roman"/>
          <w:sz w:val="24"/>
          <w:szCs w:val="24"/>
        </w:rPr>
      </w:pPr>
      <w:bookmarkStart w:id="6" w:name="_Toc124252891"/>
      <w:bookmarkStart w:id="7" w:name="_Toc46743508"/>
      <w:r>
        <w:rPr>
          <w:sz w:val="24"/>
          <w:szCs w:val="24"/>
        </w:rPr>
        <w:t>Существующее положение</w:t>
      </w:r>
      <w:bookmarkEnd w:id="6"/>
      <w:bookmarkEnd w:id="7"/>
      <w:r>
        <w:rPr>
          <w:sz w:val="24"/>
          <w:szCs w:val="24"/>
          <w:lang w:val="ru-RU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uppressAutoHyphens w:val="true"/>
        <w:bidi w:val="0"/>
        <w:spacing w:lineRule="auto" w:line="276" w:before="0" w:after="0"/>
        <w:ind w:left="0" w:right="0" w:firstLine="567"/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>Выполнение работ осуществляется на территории действующей АДЭС.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Общая информация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составе проектной документации по объекту: «</w:t>
      </w:r>
      <w:r>
        <w:rPr>
          <w:rFonts w:eastAsia="Calibri"/>
          <w:sz w:val="24"/>
          <w:szCs w:val="24"/>
          <w:lang w:eastAsia="x-none"/>
        </w:rPr>
        <w:t>Строительство АДЭС-84 кВт в с. Марха Олекминского улуса</w:t>
      </w:r>
      <w:r>
        <w:rPr>
          <w:sz w:val="24"/>
          <w:szCs w:val="24"/>
        </w:rPr>
        <w:t>», разработаны следующие здания и сооружения: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1. Производственный корпус АДЭС.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 Расходный склад топлива 100 м3 (50м3 – 3 шт.);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3. Площадка слива АЦ;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4. Аварийный резервуар емк.10 м3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5. Дренажный резервуар емк. 5 м3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6. Холодный склад МТЦ;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7. Нефтеуловитель;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8. Канализационный сборник для дождевых стоков емк. 10 м3;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9. Туалет на 2 очка;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10. Склад для хранения масла;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11. Противопожарные резервуары 2х540 м3 с насосной;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12. Площадка контейнеров ТБО;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13.  КТП;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14. Насосная под навесом.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15. Ограждение территории;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16. Технологические трубопроводы.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17. Тепловые и водопроводные сети.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18. Наружное электроснабжение и освещение, заземление и молниеприемники.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19. Вертикальная планировка.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Требуется выполнение работ:</w:t>
      </w:r>
    </w:p>
    <w:p>
      <w:pPr>
        <w:pStyle w:val="Normal"/>
        <w:widowControl/>
        <w:tabs>
          <w:tab w:val="clear" w:pos="708"/>
          <w:tab w:val="left" w:pos="1134" w:leader="none"/>
          <w:tab w:val="left" w:pos="1276" w:leader="none"/>
        </w:tabs>
        <w:suppressAutoHyphens w:val="true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Монтаж </w:t>
      </w:r>
      <w:r>
        <w:rPr>
          <w:rStyle w:val="Style8"/>
          <w:rFonts w:eastAsia="Calibri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  <w:lang w:eastAsia="x-none"/>
        </w:rPr>
        <w:t>системы охранного телевидения</w:t>
      </w:r>
      <w:r>
        <w:rPr>
          <w:sz w:val="24"/>
          <w:szCs w:val="24"/>
        </w:rPr>
        <w:t>.</w:t>
      </w:r>
    </w:p>
    <w:p>
      <w:pPr>
        <w:pStyle w:val="Heading1"/>
        <w:keepLines/>
        <w:numPr>
          <w:ilvl w:val="0"/>
          <w:numId w:val="0"/>
        </w:numPr>
        <w:spacing w:before="240" w:after="60"/>
        <w:ind w:left="0" w:right="0" w:hanging="0"/>
        <w:rPr>
          <w:rFonts w:ascii="Times New Roman" w:hAnsi="Times New Roman"/>
          <w:sz w:val="24"/>
          <w:szCs w:val="24"/>
        </w:rPr>
      </w:pPr>
      <w:bookmarkStart w:id="8" w:name="_Toc124252892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Перечень объектов заказчика</w:t>
      </w:r>
      <w:bookmarkEnd w:id="8"/>
    </w:p>
    <w:tbl>
      <w:tblPr>
        <w:tblW w:w="9918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837"/>
        <w:gridCol w:w="1870"/>
        <w:gridCol w:w="2426"/>
        <w:gridCol w:w="1968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«Строительство </w:t>
            </w:r>
            <w:r>
              <w:rPr>
                <w:rFonts w:eastAsia="Calibri"/>
                <w:sz w:val="24"/>
                <w:szCs w:val="24"/>
                <w:lang w:eastAsia="x-none"/>
              </w:rPr>
              <w:t>АДЭС-84 кВт в с. Марха Олекминского улуса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Саха (Якутия), Олекминский улус, с. Марха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АДЭС в с. Марха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Олекминский РЭС, филиал АО «Сахаэнерго»</w:t>
            </w:r>
          </w:p>
        </w:tc>
      </w:tr>
    </w:tbl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>Строительно-монтажными работами предусматривается: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>- выполнение работ на высоте - до 3 м от поверхности земли.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>- работа с люлек или лесов;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>- производство работ, требующих применения предохранительных поясов</w:t>
      </w:r>
      <w:r>
        <w:rPr>
          <w:sz w:val="24"/>
          <w:szCs w:val="24"/>
        </w:rPr>
        <w:t>.</w:t>
      </w:r>
    </w:p>
    <w:p>
      <w:pPr>
        <w:pStyle w:val="Heading4"/>
        <w:numPr>
          <w:ilvl w:val="1"/>
          <w:numId w:val="4"/>
        </w:numPr>
        <w:rPr>
          <w:rFonts w:ascii="Times New Roman" w:hAnsi="Times New Roman"/>
          <w:sz w:val="24"/>
          <w:szCs w:val="24"/>
        </w:rPr>
      </w:pPr>
      <w:bookmarkStart w:id="9" w:name="_Toc124252893"/>
      <w:r>
        <w:rPr>
          <w:sz w:val="24"/>
          <w:szCs w:val="24"/>
        </w:rPr>
        <w:t xml:space="preserve">Информация в отношении исполнения договора, </w:t>
      </w:r>
      <w:bookmarkStart w:id="10" w:name="_Hlk46492347"/>
      <w:r>
        <w:rPr>
          <w:sz w:val="24"/>
          <w:szCs w:val="24"/>
        </w:rPr>
        <w:t xml:space="preserve">которая должна быть учтена при подготовке заявки </w:t>
      </w:r>
      <w:bookmarkEnd w:id="10"/>
      <w:r>
        <w:rPr>
          <w:sz w:val="24"/>
          <w:szCs w:val="24"/>
        </w:rPr>
        <w:t xml:space="preserve">(в том числе перечень ресурсов, услуг и документов, предоставляемых </w:t>
      </w:r>
      <w:r>
        <w:rPr>
          <w:sz w:val="24"/>
          <w:szCs w:val="24"/>
          <w:lang w:val="ru-RU"/>
        </w:rPr>
        <w:t>заказчиком</w:t>
      </w:r>
      <w:r>
        <w:rPr>
          <w:sz w:val="24"/>
          <w:szCs w:val="24"/>
        </w:rPr>
        <w:t xml:space="preserve"> на этапе исполнения договора)</w:t>
      </w:r>
      <w:bookmarkEnd w:id="9"/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/>
          <w:sz w:val="24"/>
          <w:szCs w:val="24"/>
          <w:lang w:eastAsia="x-none"/>
        </w:rPr>
        <w:t>За предоставление Заказчиком ресурсов и услуг (электроснабжение – при необходимости), необходимых для исполнения Подрядчиком обязательств по Договору, Подрядчик компенсирует Заказчику расходы на электроэнергию путем заключения договора на энергоснабжение. Предоставленные Заказчиком ресурсы и услуги используются Подрядчиком в целях исполнения обязательств по Договору.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/>
          <w:sz w:val="24"/>
          <w:szCs w:val="24"/>
          <w:lang w:eastAsia="x-none"/>
        </w:rPr>
        <w:t xml:space="preserve">В ходе строительства подрядчик должен обеспечить объект резервным источником электроснабжения на весь период строительства, соблюдение мероприятий по охране труда и техники безопасности, пожарной безопасности, установить временное освещение. 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/>
          <w:sz w:val="24"/>
          <w:szCs w:val="24"/>
          <w:lang w:eastAsia="x-none"/>
        </w:rPr>
        <w:t>Доставка материалов и оборудования до места выполнения строительно-монтажных работ выполняется за счет подрядчика.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/>
          <w:sz w:val="24"/>
          <w:szCs w:val="24"/>
          <w:lang w:eastAsia="x-none"/>
        </w:rPr>
        <w:t>Перед началом работ, для получения допуска на объект, Подрядчик обязан предоставить документацию согласно требованиям ИСМ РГ-00-017.03-23 «Регламент допуска подрядных и сторонних организаций, индивидуальных предпринимателей, командированного персонала для выполнения работ на объектах АО «Сахаэнерго» (Приложение № 3 к настоящим ТТ).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left="0" w:right="0" w:hanging="0"/>
        <w:jc w:val="both"/>
        <w:rPr>
          <w:rFonts w:ascii="Times New Roman" w:hAnsi="Times New Roman" w:eastAsia="Calibri"/>
          <w:sz w:val="24"/>
          <w:szCs w:val="24"/>
          <w:u w:val="single"/>
          <w:lang w:eastAsia="x-none"/>
        </w:rPr>
      </w:pPr>
      <w:r>
        <w:rPr>
          <w:rFonts w:eastAsia="Calibri"/>
          <w:sz w:val="24"/>
          <w:szCs w:val="24"/>
          <w:u w:val="single"/>
          <w:lang w:eastAsia="x-none"/>
        </w:rPr>
      </w:r>
    </w:p>
    <w:p>
      <w:pPr>
        <w:pStyle w:val="Heading1"/>
        <w:keepLines/>
        <w:numPr>
          <w:ilvl w:val="0"/>
          <w:numId w:val="4"/>
        </w:numPr>
        <w:ind w:left="357" w:right="0" w:hanging="357"/>
        <w:jc w:val="center"/>
        <w:rPr>
          <w:rFonts w:ascii="Times New Roman" w:hAnsi="Times New Roman"/>
          <w:sz w:val="24"/>
          <w:szCs w:val="24"/>
        </w:rPr>
      </w:pPr>
      <w:bookmarkStart w:id="11" w:name="_Toc124252895"/>
      <w:bookmarkStart w:id="12" w:name="_Toc51339693"/>
      <w:r>
        <w:rPr>
          <w:iCs/>
          <w:sz w:val="24"/>
          <w:szCs w:val="24"/>
        </w:rPr>
        <w:t>Требования к продукции</w:t>
      </w:r>
      <w:bookmarkEnd w:id="11"/>
      <w:bookmarkEnd w:id="12"/>
    </w:p>
    <w:p>
      <w:pPr>
        <w:pStyle w:val="Heading4"/>
        <w:numPr>
          <w:ilvl w:val="1"/>
          <w:numId w:val="4"/>
        </w:numPr>
        <w:rPr>
          <w:rFonts w:ascii="Times New Roman" w:hAnsi="Times New Roman"/>
          <w:sz w:val="24"/>
          <w:szCs w:val="24"/>
        </w:rPr>
      </w:pPr>
      <w:bookmarkStart w:id="13" w:name="_Toc124252896"/>
      <w:r>
        <w:rPr>
          <w:sz w:val="24"/>
          <w:szCs w:val="24"/>
        </w:rPr>
        <w:t xml:space="preserve">Требования к объемам и срокам </w:t>
      </w:r>
      <w:r>
        <w:rPr>
          <w:sz w:val="24"/>
          <w:szCs w:val="24"/>
          <w:lang w:val="ru-RU"/>
        </w:rPr>
        <w:t>выполнения работ</w:t>
      </w:r>
      <w:bookmarkEnd w:id="13"/>
    </w:p>
    <w:p>
      <w:pPr>
        <w:pStyle w:val="Heading3"/>
        <w:numPr>
          <w:ilvl w:val="2"/>
          <w:numId w:val="4"/>
        </w:numPr>
        <w:rPr>
          <w:rFonts w:ascii="Times New Roman" w:hAnsi="Times New Roman"/>
          <w:sz w:val="24"/>
          <w:szCs w:val="24"/>
        </w:rPr>
      </w:pPr>
      <w:bookmarkStart w:id="14" w:name="_Toc124252897"/>
      <w:r>
        <w:rPr>
          <w:sz w:val="24"/>
          <w:szCs w:val="24"/>
          <w:lang w:val="ru-RU"/>
        </w:rPr>
        <w:t>Требования к видам и объемам работ</w:t>
      </w:r>
      <w:bookmarkEnd w:id="14"/>
    </w:p>
    <w:p>
      <w:pPr>
        <w:pStyle w:val="Heading1"/>
        <w:keepLines/>
        <w:numPr>
          <w:ilvl w:val="0"/>
          <w:numId w:val="0"/>
        </w:numPr>
        <w:spacing w:before="240" w:after="60"/>
        <w:ind w:left="0" w:right="0" w:hanging="0"/>
        <w:rPr>
          <w:rFonts w:ascii="Times New Roman" w:hAnsi="Times New Roman"/>
          <w:sz w:val="24"/>
          <w:szCs w:val="24"/>
        </w:rPr>
      </w:pPr>
      <w:bookmarkStart w:id="15" w:name="_Toc124252898"/>
      <w:bookmarkStart w:id="16" w:name="_Toc5133969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bookmarkEnd w:id="15"/>
      <w:bookmarkEnd w:id="16"/>
      <w:r>
        <w:rPr>
          <w:sz w:val="24"/>
          <w:szCs w:val="24"/>
          <w:lang w:val="ru-RU"/>
        </w:rPr>
        <w:t>Ведомость объемов работ</w:t>
      </w:r>
    </w:p>
    <w:tbl>
      <w:tblPr>
        <w:tblW w:w="9921" w:type="dxa"/>
        <w:jc w:val="left"/>
        <w:tblInd w:w="-33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58"/>
        <w:gridCol w:w="5574"/>
        <w:gridCol w:w="1407"/>
        <w:gridCol w:w="975"/>
        <w:gridCol w:w="1407"/>
      </w:tblGrid>
      <w:tr>
        <w:trPr>
          <w:trHeight w:val="289" w:hRule="atLeast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>
        <w:trPr>
          <w:trHeight w:val="289" w:hRule="atLeast"/>
        </w:trPr>
        <w:tc>
          <w:tcPr>
            <w:tcW w:w="992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Система видеонаблюдения</w:t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Установка видеорегистратора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88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IP-видеорегистратор 16 канальный, 8Мп (3840х2160), H.264; H.265; MJPEG RVi-NFP165NC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Установка монитора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 LCD 22 дюймов RVi-2M22F-2P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Установка коммутатора служебной связи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Коммутатор сетевой на 8 каналов RVi-NSP8F/2CH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Установка жесткого диска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Тбайт жесткий диск WD40PURZ серии WD Purple для систем видеонаблюдения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Монтаж уличных видеокамер на кронштейне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88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Взрывозащищенная видеокамера, 1/2.8” КМОП, 4 Мп, PoE IEEE 802.3at IP68 / 1Ex d IIC T6 Gb X, -60 ... 55°С RVi-4CFT-AS326-M.04z4/3-P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Коробка коммутационная ККВ-07е-П-КВ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коммутационный типа KeyStone, категория 5e, RJ45/8P8C, T568A/B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Установка источника бесперебойного питания (ИБП)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ИБП Ippon Smart Power Pro 1400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Монтаж устройства грозозащиты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компл</w:t>
            </w:r>
            <w:r>
              <w:rPr>
                <w:b/>
                <w:sz w:val="24"/>
                <w:szCs w:val="24"/>
              </w:rPr>
              <w:t>ект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грозозащиты Инфотех AVT-PEL761A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Установка PoE удленителя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перемычек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Optimus EM1430 Удлинитель PoE сигнала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Монтаж кабельной продукции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парной скрутки категории 5е для цифровых систем связи КВПП-5е 4х2х0,5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Трос из нержавеющей стали, диаметр 4,3 мм (4,3-Г-1-Н-140)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 металлический кабелей связи П-11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 / 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 / 0,0384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</w:t>
            </w:r>
          </w:p>
        </w:tc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Крюки для крепления изоляторов КН-16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 / т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/ 0,00117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Heading3"/>
        <w:numPr>
          <w:ilvl w:val="2"/>
          <w:numId w:val="4"/>
        </w:numPr>
        <w:spacing w:before="0" w:after="0"/>
        <w:rPr>
          <w:rFonts w:ascii="Times New Roman" w:hAnsi="Times New Roman"/>
          <w:sz w:val="24"/>
          <w:szCs w:val="24"/>
        </w:rPr>
      </w:pPr>
      <w:bookmarkStart w:id="17" w:name="_Toc124252899"/>
      <w:bookmarkStart w:id="18" w:name="_Toc51339696"/>
      <w:r>
        <w:rPr>
          <w:sz w:val="24"/>
          <w:szCs w:val="24"/>
          <w:shd w:fill="auto" w:val="clear"/>
          <w:lang w:val="ru-RU"/>
        </w:rPr>
        <w:t xml:space="preserve">Требования </w:t>
      </w:r>
      <w:bookmarkEnd w:id="18"/>
      <w:r>
        <w:rPr>
          <w:sz w:val="24"/>
          <w:szCs w:val="24"/>
          <w:shd w:fill="auto" w:val="clear"/>
          <w:lang w:val="ru-RU"/>
        </w:rPr>
        <w:t>к срокам выполнения работ</w:t>
      </w:r>
      <w:bookmarkEnd w:id="17"/>
    </w:p>
    <w:p>
      <w:pPr>
        <w:pStyle w:val="Heading1"/>
        <w:keepLines/>
        <w:numPr>
          <w:ilvl w:val="0"/>
          <w:numId w:val="0"/>
        </w:numPr>
        <w:spacing w:before="0" w:after="0"/>
        <w:ind w:left="0" w:right="0" w:hanging="0"/>
        <w:rPr>
          <w:rFonts w:ascii="Times New Roman" w:hAnsi="Times New Roman"/>
          <w:sz w:val="24"/>
          <w:szCs w:val="24"/>
        </w:rPr>
      </w:pPr>
      <w:bookmarkStart w:id="19" w:name="_Toc124252900"/>
      <w:bookmarkStart w:id="20" w:name="_Toc50125127"/>
      <w:bookmarkStart w:id="21" w:name="_Toc51339697"/>
      <w:bookmarkStart w:id="22" w:name="_Toc50125126_Копия_1"/>
      <w:bookmarkEnd w:id="22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23" w:name="_Hlk50465284"/>
      <w:r>
        <w:rPr>
          <w:sz w:val="24"/>
          <w:szCs w:val="24"/>
        </w:rPr>
        <w:t xml:space="preserve">Требования по срокам </w:t>
      </w:r>
      <w:bookmarkEnd w:id="20"/>
      <w:bookmarkEnd w:id="21"/>
      <w:bookmarkEnd w:id="23"/>
      <w:r>
        <w:rPr>
          <w:sz w:val="24"/>
          <w:szCs w:val="24"/>
          <w:lang w:val="ru-RU"/>
        </w:rPr>
        <w:t>выполнения работ</w:t>
      </w:r>
      <w:bookmarkEnd w:id="19"/>
    </w:p>
    <w:tbl>
      <w:tblPr>
        <w:tblW w:w="10406" w:type="dxa"/>
        <w:jc w:val="left"/>
        <w:tblInd w:w="-3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6061"/>
        <w:gridCol w:w="1547"/>
        <w:gridCol w:w="2300"/>
      </w:tblGrid>
      <w:tr>
        <w:trPr>
          <w:trHeight w:val="1359" w:hRule="atLeast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4" w:name="_Toc46743510_Копия_1"/>
            <w:bookmarkEnd w:id="24"/>
            <w:r>
              <w:rPr>
                <w:sz w:val="24"/>
                <w:szCs w:val="24"/>
              </w:rPr>
              <w:t>№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</w:t>
            </w:r>
          </w:p>
        </w:tc>
      </w:tr>
      <w:tr>
        <w:trPr>
          <w:trHeight w:val="77" w:hRule="atLeast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left="113" w:right="0" w:hanging="0"/>
              <w:jc w:val="both"/>
              <w:rPr>
                <w:b/>
                <w:bCs/>
              </w:rPr>
            </w:pPr>
            <w:r>
              <w:rPr>
                <w:rStyle w:val="Style8"/>
                <w:rFonts w:eastAsia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shd w:fill="auto" w:val="clear"/>
                <w:em w:val="none"/>
                <w:lang w:eastAsia="x-none"/>
              </w:rPr>
              <w:t>Выполнение работ (включая поставку) по монтажу системы охранного телевидения по объекту «Строительство емкостного парка 100м3 АДЭС Марха, Олекминского улуса».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(три) месяца с даты  заключения Договора, </w:t>
            </w:r>
            <w:r>
              <w:rPr>
                <w:sz w:val="24"/>
                <w:szCs w:val="24"/>
                <w:shd w:fill="auto" w:val="clear"/>
              </w:rPr>
              <w:t>но не позднее 30.09.2026 г.</w:t>
            </w:r>
          </w:p>
        </w:tc>
      </w:tr>
    </w:tbl>
    <w:p>
      <w:pPr>
        <w:sectPr>
          <w:headerReference w:type="default" r:id="rId2"/>
          <w:headerReference w:type="first" r:id="rId3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4"/>
        </w:numPr>
        <w:rPr>
          <w:rFonts w:ascii="Times New Roman" w:hAnsi="Times New Roman"/>
          <w:sz w:val="24"/>
          <w:szCs w:val="24"/>
        </w:rPr>
      </w:pPr>
      <w:bookmarkStart w:id="25" w:name="_Toc50125131"/>
      <w:bookmarkStart w:id="26" w:name="_Toc51339698"/>
      <w:bookmarkStart w:id="27" w:name="_Toc124252901"/>
      <w:r>
        <w:rPr>
          <w:sz w:val="24"/>
          <w:szCs w:val="24"/>
        </w:rPr>
        <w:t xml:space="preserve">Требования к </w:t>
      </w:r>
      <w:r>
        <w:rPr>
          <w:sz w:val="24"/>
          <w:szCs w:val="24"/>
          <w:lang w:val="ru-RU"/>
        </w:rPr>
        <w:t>качеству работ</w:t>
      </w:r>
      <w:bookmarkEnd w:id="27"/>
    </w:p>
    <w:p>
      <w:pPr>
        <w:pStyle w:val="Heading1"/>
        <w:keepLines/>
        <w:numPr>
          <w:ilvl w:val="0"/>
          <w:numId w:val="0"/>
        </w:numPr>
        <w:spacing w:before="240" w:after="60"/>
        <w:ind w:left="0" w:right="0" w:hanging="0"/>
        <w:rPr>
          <w:rFonts w:ascii="Times New Roman" w:hAnsi="Times New Roman"/>
          <w:sz w:val="24"/>
          <w:szCs w:val="24"/>
        </w:rPr>
      </w:pPr>
      <w:bookmarkStart w:id="28" w:name="_Toc124252902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25"/>
      <w:bookmarkEnd w:id="26"/>
      <w:r>
        <w:rPr>
          <w:sz w:val="24"/>
          <w:szCs w:val="24"/>
          <w:lang w:val="ru-RU"/>
        </w:rPr>
        <w:t>качеству работ</w:t>
      </w:r>
      <w:bookmarkEnd w:id="28"/>
      <w:r>
        <w:rPr>
          <w:bCs/>
          <w:sz w:val="24"/>
          <w:szCs w:val="24"/>
        </w:rPr>
        <w:t xml:space="preserve">,  </w:t>
      </w:r>
      <w:r>
        <w:rPr>
          <w:bCs/>
          <w:sz w:val="24"/>
          <w:szCs w:val="24"/>
          <w:lang w:val="ru-RU"/>
        </w:rPr>
        <w:t>указанных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ru-RU"/>
        </w:rPr>
        <w:t xml:space="preserve">в </w:t>
      </w:r>
      <w:r>
        <w:rPr>
          <w:bCs/>
          <w:sz w:val="24"/>
          <w:szCs w:val="24"/>
        </w:rPr>
        <w:t>Ведомост</w:t>
      </w:r>
      <w:r>
        <w:rPr>
          <w:bCs/>
          <w:sz w:val="24"/>
          <w:szCs w:val="24"/>
          <w:lang w:val="ru-RU"/>
        </w:rPr>
        <w:t>и</w:t>
      </w:r>
      <w:r>
        <w:rPr>
          <w:bCs/>
          <w:sz w:val="24"/>
          <w:szCs w:val="24"/>
        </w:rPr>
        <w:t xml:space="preserve"> объемов конструктивных решений - прилагается к настоящим Техническим требованиям – Раздел 2, таблица №2.</w:t>
      </w:r>
    </w:p>
    <w:tbl>
      <w:tblPr>
        <w:tblW w:w="15019" w:type="dxa"/>
        <w:jc w:val="left"/>
        <w:tblInd w:w="-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2673"/>
        <w:gridCol w:w="8498"/>
        <w:gridCol w:w="2776"/>
      </w:tblGrid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60" w:after="60"/>
              <w:ind w:left="-117" w:right="0" w:firstLine="142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before="60" w:after="60"/>
              <w:ind w:left="1224" w:right="0" w:hanging="1199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Строительно-монтажные работы выполняются в соответствии со следующей документацией и нормативными документами: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/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</w:t>
              <w:tab/>
              <w:t xml:space="preserve">проектная документация </w:t>
            </w:r>
            <w:r>
              <w:rPr>
                <w:rFonts w:eastAsia="Calibri" w:cs="Times New Roman"/>
                <w:kern w:val="0"/>
                <w:sz w:val="24"/>
                <w:szCs w:val="24"/>
                <w:shd w:fill="auto" w:val="clear"/>
                <w:lang w:val="ru-RU" w:eastAsia="x-none" w:bidi="ar-SA"/>
              </w:rPr>
              <w:t>«Строительство АДЭС-84 кВт в с. Марха Олекминского улуса» (шифр 38-19), разработанная ООО «ПКБ Теплостройпроект» (г. Якутск)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(прилагается к настоящим Техническим требованиям – Приложение №1),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</w:t>
              <w:tab/>
              <w:t>Постановление Правительства Российской Федерации от 21 июня 2010 г. N 468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"О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Технический регламент о безопасности зданий и сооружений (с изменениями на 2 июля 2013 года), Федеральный закон от 30.12.2009 N 384-ФЗ;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Федеральный закон от 21.12.1994 N 69-ФЗ "О пожарной безопасности";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Федеральный закон от 22.07.2008 N 123-ФЗ "Технический регламент о требованиях пожарной безопасности";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Правила противопожарного режима В РФ, утв. Постановлением Правительства РФ от 16 сентября 2020 года N 1479;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Федеральный закон от 21.07.1997 N 116-ФЗ "О промышленной безопасности опасных производственных объектов";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45.13330.2017 «Земляные сооружения, основания и фундаменты»;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48.13330.2019 «Организация строительства. Актуализированная редакция СНиП 12-01-2004»;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71.13330.2017. Свод правил. Изоляционные и отделочные покрытия. Актуализированная редакция СНиП 3.04.01-87 (утв. Приказом Минстроя России от 27.02.2017 № 128/пр);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76.13330.2016. Свод правил. Электротехнические устройства. Актуализированная редакция СНиП 3.05.06-85" (утв. Приказом Минстроя России от 16.12.2016 N 955/пр);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60.13330.2012. Свод правил. Отопление, вентиляция и кондиционирование воздуха. Актуализированная редакция СНиП 41-01-2003" (утв. Приказом Минрегиона России от 30.06.2012 N 279);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72.13330.2016. Свод правил. Защита строительных конструкций и сооружений от коррозии. СНиП 3.04.03-85" (утв. и введен в действие Приказом Минстроя России от 16.12.2016 N 965/пр);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70.13330.2012 «Несущие и ограждающие конструкции»;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49.13330.2010 (СНиП 12-03-2001) «Безопасность труда в строительстве» ч.1;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СНиП 12-04-2002 «Безопасность труда в строительстве» ч.2;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126.13330.2017 «Геодезические работы в строительстве. Актуализированная редакция СНиП 3.01.03-84»;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116.13330.2012 «Инженерная защита территорий, зданий и сооружений от опасных геологических процессов»;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28.13330.2017 «Защита строительных конструкций от коррозии»;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68.13330.2017 «Приемка в эксплуатацию законченных строительством объектов»;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14.13330.2018 «Строительство в сейсмических районах»;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ПУЭ «Правила устройства электроустановок»;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«Инструкция по оформлению приемо-сдаточной документации по электромонтажным работам» И 1.13-07;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РД 34.03.204 «Правила безопасности при работе с инструментом и приспособлениями»;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РД 10-107-96 «Типовая инструкция для стропальщиков по безопасному производству работ грузоподъемными машинами»;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РД 10-34-93 «Типовая инструкция для лиц ответственных за безопасное производство работ кранами (с изменением №1);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ВСН 506-88 «Проектирование и устройство грунтовых анкеров»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МДС 12-81.2007 «Методические рекомендации по разработке и оформлению проекта организации строительства и проекта производства работ»;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СО 153-34.03.305-2003 «Инструкция о мерах пожарной безопасности при проведении огневых работ на энергетических предприятиях»;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Правила охраны труда при строительстве, реконструкции и ремонте, утвержденные приказом Минтруда РФ от 11.12.2020 г. №883;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Приказ Минтруда России от 16.11.2020 г. №782» Об утверждении Правил по охране труда при работе на высоте».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Приказ Минтруда РФ от 24.07.3013г. №328н «Правила по охране труда при эксплуатации электроустановок»;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Приказ Ростехнадзора РФ от 26.11.2020 г. №461Правила безопасности «опасных производственных объектов, на которых используются подъемные сооружения;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Приказ Минтруда РФ от 17.09.2014 № 642н «Об утверждении Правил по охране труда при погрузочно-разгрузочных работах и размещении грузов»;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Проект производства работ (ППР), заводскими инструкциями и руководством по использованию применяемых материалов.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СДОС-03-2009 «Положение по проведению строительного контроля при строительстве, реконструкции, капитального строительства».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60" w:after="60"/>
              <w:ind w:left="-117" w:right="0"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before="60" w:after="60"/>
              <w:ind w:left="1224" w:right="0" w:hanging="1199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ind w:left="0" w:right="0" w:firstLine="414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ППР на выполнение Работ должен разработать Подрядчик в соответствии с МДС 12-81.2007 «Методические рекомендации по разработке и оформлению проекта организации строительства и проекта производства работ», МДС 12-29.2006 «Методические рекомендации по разработке и оформлению технологической карты» и должен включать: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left="0" w:right="0" w:firstLine="4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календарный план производства работ по виду работ (устанавливается последовательность выполнения работ, а также указание производства совмещенных работ);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ind w:left="0" w:right="0" w:firstLine="414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технологические карты (схемы) (с использованием соответствующей типовой документации) на выполнение отдельных видов Работ, результатом которых являются законченные конструктивные элементы, а также схемы организации рабочих мест с указанием: требований по подготовке места работы и выполнению предшествующих Работ, обеспечивающих необходимый фронт и безопасные условия выполнения Работ: методов и последовательности производства работ, определением необходимых средств механизации и технологической оснастки, определением способов подачи и мест хранения материалов, конструкций и изделий.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ind w:left="0" w:right="0"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Разработка и согласование с Заказчиком ППР должна быть произведена не менее чем за 10 (десять) рабочих дней до момента начала производства работ.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60" w:after="60"/>
              <w:ind w:left="-117" w:right="0" w:firstLine="142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before="60" w:after="60"/>
              <w:ind w:left="1224" w:right="0" w:hanging="1199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При выполнении работ должна применяться продукция, оборудование, материалы и вещества, соответствие которых нормативным требованиям подтверждено декларацией о соответствии или сертификатом соответствия. Обязательно осуществление входного контроля Подрядчиком, применяемых материалов с оформлением соответствующих актов и внесением записей в журнал входного контроля.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При осуществлении входного контроля Подрядчику необходимо проводить испытания материалов конструкций и изделий силами специализированных, лицензированных лабораторий, в случае выявления при входном контроле продукции, не соответствующей установленным требованиям, ее применение для строительства не допускается;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Испытания в рамках входного контроля, которые Подрядчик не может осуществить собственными силами, он должен производить с привлечением, по договору подряда, аккредитованной лаборатории.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Входной контроль проводить в соответствии с Постановлением Правительства Российской Федерации от 21 июня 2010 г. N 468 "О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Хранение материалов производить в соответствии с ВСН 212-85.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60" w:after="60"/>
              <w:ind w:left="-117" w:right="0" w:firstLine="142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before="60" w:after="60"/>
              <w:ind w:left="1224" w:right="0" w:hanging="1199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Подрядчик обязан производить строительный контроль в ходе производства работ, в том числе: контроль над соответствием применяемых строительных материалов и конструкций требованиям технических регламентов и рабочей документации, соблюдением норм и правил складирования и хранения применяемой продукции, соблюдением последовательности и состава технологических операций при осуществлении строительства.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Осуществление строительного контроля подрядчиком в соответствии с Постановлением Правительства Российской Федерации № 468 от 21.06.2010 г. с ведением журналов работ и оформлением актов согласно РД-11-02-2006 и РД-11-05-2007.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Наличие аккредитованной лаборатории по оценке качества работ и материалов или договора со специализированной организацией на выполнение работ по оценке качества такой продукции.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Подрядчик гарантирует высокое качество и надежную последующую эксплуатацию объекта капитального строительства в соответствии с положениями технических регламентов, действующих на территории Российской Федерации.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На Подрядчика возлагается контроль: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за соответствием выполнения строительных и монтажных работ проекту и техническим регламентам в порядке, установленном схемами операционного контроля;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проверка соответствия стандартам, техническим условиям, паспортам и сертификатам поступающих на объект материалов, конструкций и изделий;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Материалы и оборудование применяются в соответствии с п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роектной документацией «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x-none" w:bidi="ar-SA"/>
              </w:rPr>
              <w:t>Строительство АДЭС-84 кВт в с. Марха Олекминского улуса» (шифр 38-19), разработанной ООО «ПКБ Теплостройпроект» (г. Якутск)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 (прилагается к настоящим Техническим требованиям – Приложение №1).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Материалы и оборудование должны быть новыми и ранее не использованными.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В части оборудования и материалов, указанных в рабочей документации с конкретной торговой маркой, допускается аналог с теми же или лучшими характеристиками.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Применяемые при монтаже оборудования под давлением, материалы и полуфабрикаты должны обеспечивать безопасные эксплуатационные параметры, определяемые их механическими свойствами, химическим составом, технологией изготовления, методами и объемами испытаний и контроля качества, гарантированным уровнем расчетных и технологических характеристик, и должны соответствовать требованиям технической документации изготовителя и рабочей документации.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Обязательное предоставление паспортов и сертификатов на поставляемые материалы и оборудование.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Все замечания, указания, предписания надзорных органов, предъявленные Заказчику по качеству выполненных Подрядчиком работ, устраняются Подрядчиком в указанные сроки за счет собственных средств.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Своевременно оповещать представителей Заказчика и авторского надзора о проведении освидетельствования скрытых работ и ответственных конструкций.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60" w:after="60"/>
              <w:ind w:left="-117" w:right="0" w:firstLine="142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подрядчика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before="60" w:after="60"/>
              <w:ind w:left="1224" w:right="0" w:hanging="1199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ind w:left="0" w:right="0" w:firstLine="2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электро- и пневмоинструментом) (возможно совмещение специальностей).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60" w:after="60"/>
              <w:ind w:left="-117" w:right="0" w:firstLine="142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before="60" w:after="60"/>
              <w:ind w:left="1224" w:right="0" w:hanging="1199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безопасности выполняемых работ</w:t>
            </w: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firstLine="2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Подрядчик должен: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firstLine="2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- соблюдать требования действующего федерального законодательства Российской Федерации, нормативных правовых актов субъектов Российской Федерации, в т.ч.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firstLine="2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Подрядчик обязан: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firstLine="2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- 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firstLine="2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- соблюдать установленный противопожарный и внутриобъектовый режимы на предприятии Заказчика, требования режимов являются обязательными для персонала Подрядчика и должны строго выполняться.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firstLine="263"/>
              <w:contextualSpacing/>
              <w:jc w:val="both"/>
              <w:rPr>
                <w:color w:val="000000"/>
              </w:rPr>
            </w:pPr>
            <w:r>
              <w:rPr>
                <w:rFonts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При производстве работ Подрядчик руководствуется действующими нормативными документами в области охраны труда и промышленной безопасности, указанных п.1.1.1 Технических требований.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firstLine="2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Работы производить в соответствии с согласованным Заказчиком ППР.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firstLine="2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При выполнении работ Подрядчику необходимо: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firstLine="2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- выполнить монтаж ограждений, переходов, лестниц и т.д., для безопасного доступа персонала Подрядчика и представителей Заказчика, надзорных органов и авторского надзора на строящиеся объекты;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firstLine="2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- исключить падение монтируемых конструкций, оборудования;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firstLine="2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- обеспечить безопасность, персонала Заказчика, персонала подрядных организаций, находящегося в зоне выполнения работ в период производства работ;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firstLine="2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- нести ответственность за сохранность оборудования, механизмов, средств, систем, конструкций, сооружений и транспортных приспособлений Заказчика и подрядных организаций, находящихся в зоне выполнения работ в период производства работ.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60" w:after="60"/>
              <w:ind w:left="-117" w:right="0" w:firstLine="142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работ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before="60" w:after="60"/>
              <w:ind w:left="1224" w:right="0" w:hanging="1199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Работы выполняются в таком объеме, который позволяет начать эксплуатацию результатов работ без закупки дополнительных объемов работ.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Работы по договору считаются выполненными с момента сдачи объектов в эксплуатацию приемочной комиссии по Акту приемки законченного строительством объекта (по форме КС-11).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Подрядные работы, определенные по предмету Договора, выполнять в соответствии проектной документацией «</w:t>
            </w:r>
            <w:r>
              <w:rPr>
                <w:rFonts w:eastAsia="Calibri" w:cs="Times New Roman"/>
                <w:color w:val="auto"/>
                <w:kern w:val="0"/>
                <w:sz w:val="24"/>
                <w:szCs w:val="24"/>
                <w:lang w:val="ru-RU" w:eastAsia="x-none" w:bidi="ar-SA"/>
              </w:rPr>
              <w:t xml:space="preserve">Строительство АДЭС-84 кВт в с. Марха Олекминского улуса» (шифр 38-19), разработанной ООО «ПКБ Теплостройпроект» (г. Якутск) </w:t>
            </w: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(прилагается к настоящим Техническим требованиям – Приложение №1), в соответствии с действующими федеральными законами, техническими регламентами, правилами и стандартами.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60" w:after="60"/>
              <w:ind w:left="-117" w:right="0" w:firstLine="142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60" w:after="60"/>
              <w:ind w:left="-117" w:right="0" w:firstLine="142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порядку приемки результатов работ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870" w:hRule="atLeast"/>
        </w:trPr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before="60" w:after="60"/>
              <w:ind w:left="1224" w:right="0" w:hanging="1199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завершенных работ (перечень сооружений)</w:t>
            </w: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left="0" w:right="0" w:firstLine="371"/>
              <w:jc w:val="both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Согласно ведомости объемов работ (Таблица 2)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1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before="60" w:after="60"/>
              <w:ind w:left="1224" w:right="0" w:hanging="1199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Сдача-приемка результатов работ</w:t>
            </w:r>
          </w:p>
        </w:tc>
        <w:tc>
          <w:tcPr>
            <w:tcW w:w="8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left="0" w:right="0"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Порядок сдачи-приемки работ, также описан в Разделе 4 Договора.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60" w:after="60"/>
              <w:ind w:left="-117" w:right="0" w:firstLine="142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before="60" w:after="60"/>
              <w:ind w:left="1224" w:right="0" w:hanging="1199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Документы, передаваемые заказчику по результатам выполненных работ</w:t>
            </w: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371"/>
              <w:jc w:val="both"/>
              <w:rPr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Подрядчик обязан предоставить документацию, соответствующую требованиям «Порядка сдачи-приемки работ» (Раздел 4 Договора), в том числе одновременно с передачей актов приемки выполненных работ по форме КС-2 передать заказчику Отчет о выполненных работах, включая: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</w:t>
              <w:tab/>
              <w:t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</w:t>
              <w:tab/>
              <w:t>сертификаты (паспорта), подтверждающие качество и соответствие требованиям конструкторской и нормативно-технической документации материалов (форма завода-изготовителя).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Документация выполняется и сдается Подрядчиком в соответствии с требованиями указанными в РД, СП, СТО РГ, указанных в п. 1.1.1 настоящей таблицы.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Выполнение отдельных видов работ, предусматривающих скрытые работы, должно подтверждаться Актами скрытых работ, подписанными техническим куратором и представителем авторского надзора. Сдача ответственных конструкций должна подтверждаться Актами освидетельствования ответственных конструкций. В ходе окончательной приемки работ должны быть предъявлены следующие документы: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паспорта и сертификаты на примененные материалы и оборудование;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данные о результатах лабораторных испытаний;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журнал производства работ, журналы специальных работ;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исполнительные чертежи, схемы;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акты, составленные по результатам контрольных мероприятий, проводимых совместно подрядчиком и заказчиком;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 акты промежуточной приемки выполненных работ. Кроме того Подрядчик должен предоставить Заказчику всю техническую документацию на предоставляемое оборудование, изделия (акты, протоколы, сертификаты и пр.) в соответствии с действующими стандартами, действующими СП, СНиП. Работы должны проводиться в соответствии с действующими СНиП, РД, ПУЭ, ПТЭ, МПОТ, требованиями пожарной безопасности (см. п. 1.1.1 настоящей таблицы).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Комплект исполнительной документации предоставляется Заказчику на русском языке, на бумажном носителе в виде альбома форматов А1, А2, A3, А4 в 1 (одном) экземпляре.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before="60" w:after="60"/>
              <w:ind w:left="1224" w:right="0" w:hanging="1199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Документы, передаваемые заказчику о ходе выполнения работ</w:t>
            </w: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Подрядчик обязан еженедельно (не позднее пятницы) предоставлять  информацию (отчет) о ходе выполнения работ, в письменном виде, с приложением фотографий.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В предоставляемой информации указываются фактические сроки выполнения работ,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before="60" w:after="60"/>
              <w:ind w:left="1224" w:right="0" w:hanging="1199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ind w:left="0" w:right="0" w:firstLine="42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Смотреть </w:t>
            </w: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п. 1.1.1 настоящей таблицы.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подрядчика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4.1.1.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Гарантийный срок на результат работ</w:t>
            </w: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Гарантийный срок по Договору составляет 36 (тридцать шесть) месяцев и начинает действовать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4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При организации и производстве Работ Подрядчик несет ответственность за соблюдением условий природопользования.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right="0" w:hanging="0"/>
              <w:jc w:val="left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29" w:name="_Toc124252903"/>
            <w:r>
              <w:rPr>
                <w:rFonts w:eastAsia="Times New Roman" w:cs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  <w:bookmarkEnd w:id="29"/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4.1.2.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Ответственность Подрядчика</w:t>
            </w: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firstLine="371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Подрядчика смотреть в Разделе 7 Договора.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right="0" w:hanging="0"/>
              <w:jc w:val="left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30" w:name="_Toc124252904"/>
            <w:r>
              <w:rPr>
                <w:rFonts w:eastAsia="Times New Roman" w:cs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  <w:bookmarkEnd w:id="30"/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before="60" w:after="60"/>
              <w:ind w:left="1224" w:right="0" w:hanging="1199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113" w:right="0" w:firstLine="39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работ, с учетом требований п.2.4.3 Договора.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требования к выполняемым работам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60" w:after="60"/>
              <w:ind w:left="-117" w:right="0" w:firstLine="142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9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right="0" w:firstLine="414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31" w:name="_Toc124252905"/>
            <w:r>
              <w:rPr>
                <w:rFonts w:eastAsia="Times New Roman" w:cs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При выполнении Работ на территории и объекте Заказчика, подрядная организация организует санитарно-бытовое обслуживание собственного персонала в местах отсутствия действующих туалетов и умывальников в шаговой доступности (более 75 метров) до полного окончания работ. Санитарно-бытовое обслуживание включает в себя:</w:t>
            </w:r>
            <w:bookmarkEnd w:id="31"/>
          </w:p>
          <w:p>
            <w:pPr>
              <w:pStyle w:val="Style29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right="0" w:firstLine="414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32" w:name="_Toc124252906"/>
            <w:r>
              <w:rPr>
                <w:rFonts w:eastAsia="Times New Roman" w:cs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- установку, обслуживание и очистку биотуалетов с возможностью эксплуатации его в зимний период года;</w:t>
            </w:r>
            <w:bookmarkEnd w:id="32"/>
          </w:p>
          <w:p>
            <w:pPr>
              <w:pStyle w:val="Style29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right="0" w:firstLine="414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33" w:name="_Toc124252907"/>
            <w:r>
              <w:rPr>
                <w:rFonts w:eastAsia="Times New Roman" w:cs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- установку и бесперебойную работу умывальников;</w:t>
            </w:r>
            <w:bookmarkEnd w:id="33"/>
          </w:p>
          <w:p>
            <w:pPr>
              <w:pStyle w:val="Style29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right="0" w:firstLine="414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34" w:name="_Toc124252908"/>
            <w:r>
              <w:rPr>
                <w:rFonts w:eastAsia="Times New Roman" w:cs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- вывоз и утилизацию (обезвреживание) отходов, образующихся при эксплуатации биотуалетов и умывальников;</w:t>
            </w:r>
            <w:bookmarkEnd w:id="34"/>
          </w:p>
          <w:p>
            <w:pPr>
              <w:pStyle w:val="Style29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right="0" w:firstLine="414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35" w:name="_Toc124252909"/>
            <w:r>
              <w:rPr>
                <w:rFonts w:eastAsia="Times New Roman" w:cs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- установку и бесперебойную работу кулеров с питьевой водой;</w:t>
            </w:r>
            <w:bookmarkEnd w:id="35"/>
          </w:p>
          <w:p>
            <w:pPr>
              <w:pStyle w:val="Style29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right="0" w:firstLine="414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36" w:name="_Toc124252910"/>
            <w:r>
              <w:rPr>
                <w:rFonts w:eastAsia="Times New Roman" w:cs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- размещения разовых бумажных полотенец и жидкого мыла в местах установки умывальников.</w:t>
            </w:r>
            <w:bookmarkEnd w:id="36"/>
          </w:p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right="0" w:firstLine="414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37" w:name="_Toc124252911"/>
            <w:r>
              <w:rPr>
                <w:rFonts w:eastAsia="Times New Roman" w:cs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- сброс и\или размещение сточных вод образованных от эксплуатации биотуалетов и умывальников, в водные объекты и на территории Филиала категорически запрещён.</w:t>
            </w:r>
            <w:bookmarkEnd w:id="37"/>
          </w:p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right="0" w:firstLine="414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38" w:name="_Toc124252912"/>
            <w:r>
              <w:rPr>
                <w:rFonts w:eastAsia="Times New Roman" w:cs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При выполнении работ необходимо соблюдать требования законодательства в области охраны окружающей среды. Отходы, образующиеся в ходе производства работ, Подрядчик сортирует по классу опасности и вывозит на соответствующий полигон.</w:t>
            </w:r>
            <w:bookmarkEnd w:id="38"/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right="0" w:hanging="0"/>
              <w:jc w:val="left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39" w:name="_Toc124252913"/>
            <w:r>
              <w:rPr>
                <w:rFonts w:eastAsia="Times New Roman" w:cs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  <w:bookmarkEnd w:id="39"/>
          </w:p>
        </w:tc>
      </w:tr>
    </w:tbl>
    <w:p>
      <w:pPr>
        <w:sectPr>
          <w:headerReference w:type="default" r:id="rId4"/>
          <w:headerReference w:type="first" r:id="rId5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numPr>
          <w:ilvl w:val="0"/>
          <w:numId w:val="4"/>
        </w:numPr>
        <w:ind w:left="357" w:right="0" w:hanging="0"/>
        <w:jc w:val="center"/>
        <w:rPr>
          <w:lang w:val="ru-RU"/>
        </w:rPr>
      </w:pPr>
      <w:bookmarkStart w:id="40" w:name="_Toc124252914"/>
      <w:bookmarkStart w:id="41" w:name="_Toc53393312_Копия_1"/>
      <w:r>
        <w:rPr>
          <w:lang w:val="ru-RU"/>
        </w:rPr>
        <w:t>Требования к документации по ценообразованию</w:t>
      </w:r>
      <w:bookmarkEnd w:id="41"/>
      <w:r>
        <w:rPr>
          <w:lang w:val="ru-RU"/>
        </w:rPr>
        <w:t xml:space="preserve"> на этапе закупки</w:t>
      </w:r>
      <w:bookmarkEnd w:id="40"/>
    </w:p>
    <w:p>
      <w:pPr>
        <w:pStyle w:val="Normal"/>
        <w:spacing w:lineRule="auto" w:line="276"/>
        <w:ind w:left="0" w:right="0" w:hanging="0"/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left="57" w:right="0" w:firstLine="567"/>
        <w:jc w:val="both"/>
        <w:rPr/>
      </w:pPr>
      <w:r>
        <w:rPr>
          <w:rFonts w:eastAsia="Calibri"/>
          <w:sz w:val="24"/>
          <w:szCs w:val="24"/>
          <w:lang w:eastAsia="x-none"/>
        </w:rPr>
        <w:t xml:space="preserve">3.1. </w:t>
      </w:r>
      <w:r>
        <w:rPr>
          <w:sz w:val="24"/>
          <w:szCs w:val="24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коэффициента. Величину данного коэффициента рекомендуется учитывать с округлением до 7 знаков после запятой).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left="57" w:right="0" w:firstLine="567"/>
        <w:jc w:val="both"/>
        <w:rPr>
          <w:rFonts w:eastAsia="Calibri"/>
          <w:iCs/>
          <w:sz w:val="24"/>
          <w:szCs w:val="24"/>
          <w:lang w:val="x-none" w:eastAsia="x-none"/>
        </w:rPr>
      </w:pPr>
      <w:r>
        <w:rPr>
          <w:rFonts w:eastAsia="Calibri"/>
          <w:iCs/>
          <w:sz w:val="24"/>
          <w:szCs w:val="24"/>
          <w:lang w:val="x-none" w:eastAsia="x-none"/>
        </w:rPr>
        <w:t>3.2. 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Heading1"/>
        <w:numPr>
          <w:ilvl w:val="0"/>
          <w:numId w:val="0"/>
        </w:numPr>
        <w:ind w:left="357" w:right="0" w:hanging="0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4"/>
        </w:numPr>
        <w:ind w:left="357" w:right="0" w:hanging="357"/>
        <w:jc w:val="center"/>
        <w:rPr>
          <w:rFonts w:ascii="Times New Roman" w:hAnsi="Times New Roman"/>
          <w:sz w:val="24"/>
          <w:szCs w:val="24"/>
        </w:rPr>
      </w:pPr>
      <w:bookmarkStart w:id="42" w:name="_Toc124252915"/>
      <w:r>
        <w:rPr>
          <w:sz w:val="24"/>
          <w:szCs w:val="24"/>
          <w:lang w:val="ru-RU"/>
        </w:rPr>
        <w:t>Требования к документации по ценообразованию на этапе заключения (исполнения) договора</w:t>
      </w:r>
      <w:bookmarkEnd w:id="42"/>
    </w:p>
    <w:p>
      <w:pPr>
        <w:pStyle w:val="Normal"/>
        <w:rPr>
          <w:rFonts w:ascii="Times New Roman" w:hAnsi="Times New Roman"/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240" w:before="60" w:after="0"/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4.1   На этапе заключения договора Участник должен предоставить сметный расчет.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240" w:before="60" w:after="0"/>
        <w:ind w:left="0" w:right="0" w:firstLine="567"/>
        <w:jc w:val="both"/>
        <w:rPr/>
      </w:pPr>
      <w:r>
        <w:rPr>
          <w:sz w:val="24"/>
          <w:szCs w:val="24"/>
        </w:rPr>
        <w:t xml:space="preserve">4.1.1 </w:t>
      </w:r>
      <w:r>
        <w:rPr>
          <w:sz w:val="24"/>
          <w:szCs w:val="28"/>
        </w:rPr>
        <w:t>Сметная документация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сметы, но перед начислением НДС).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567"/>
        <w:jc w:val="both"/>
        <w:rPr>
          <w:rFonts w:cs="Times New Roman"/>
          <w:b w:val="false"/>
          <w:bCs w:val="false"/>
          <w:sz w:val="24"/>
          <w:szCs w:val="24"/>
        </w:rPr>
      </w:pPr>
      <w:r>
        <w:rPr>
          <w:rFonts w:cs="Times New Roman"/>
          <w:b w:val="false"/>
          <w:bCs w:val="false"/>
          <w:sz w:val="24"/>
          <w:szCs w:val="24"/>
        </w:rPr>
        <w:t>4.1.2. Допускается понижение до цены лота за счет лимитированных и непредвиденных затрат.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240" w:before="60" w:after="0"/>
        <w:ind w:left="0" w:right="0" w:firstLine="567"/>
        <w:jc w:val="both"/>
        <w:rPr/>
      </w:pPr>
      <w:r>
        <w:rPr>
          <w:rFonts w:eastAsia="Calibri"/>
          <w:sz w:val="24"/>
          <w:szCs w:val="24"/>
          <w:lang w:eastAsia="x-none"/>
        </w:rPr>
        <w:t xml:space="preserve">4.1.3. </w:t>
      </w:r>
      <w:r>
        <w:rPr>
          <w:rFonts w:eastAsia="Calibri" w:cs="Times New Roman"/>
          <w:b w:val="false"/>
          <w:bCs/>
          <w:i w:val="false"/>
          <w:iCs/>
          <w:caps w:val="false"/>
          <w:smallCaps w:val="false"/>
          <w:color w:val="000000"/>
          <w:spacing w:val="0"/>
          <w:sz w:val="24"/>
          <w:szCs w:val="24"/>
          <w:lang w:eastAsia="x-none"/>
        </w:rPr>
        <w:t>Внесение изменений в сметную документацию Заказчика, кроме применения понижающего коэффициента в соответствии с п.4.1.1, не допускается.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567"/>
        <w:jc w:val="both"/>
        <w:rPr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4.2. Требования к составлению сметной документации (на этапе исполнения договора):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567"/>
        <w:jc w:val="both"/>
        <w:rPr/>
      </w:pPr>
      <w:r>
        <w:rPr>
          <w:bCs/>
          <w:iCs/>
          <w:sz w:val="24"/>
          <w:szCs w:val="24"/>
        </w:rPr>
        <w:t xml:space="preserve">4.2.1. </w:t>
      </w:r>
      <w:r>
        <w:rPr>
          <w:rFonts w:cs="Times New Roman"/>
          <w:b w:val="false"/>
          <w:bCs w:val="false"/>
          <w:sz w:val="24"/>
          <w:szCs w:val="24"/>
        </w:rPr>
        <w:t>Учтенные в договорной смете понижающие коэффициенты обязательны к применению как в актах выполненных работ на стадии расчетов, так и в дополнительных сметах в случае их составления на стадии выполнения Договора подряда.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567"/>
        <w:jc w:val="both"/>
        <w:rPr>
          <w:rFonts w:cs="Times New Roman"/>
          <w:b w:val="false"/>
          <w:bCs w:val="false"/>
          <w:sz w:val="24"/>
          <w:szCs w:val="24"/>
        </w:rPr>
      </w:pPr>
      <w:r>
        <w:rPr>
          <w:rFonts w:cs="Times New Roman"/>
          <w:b w:val="false"/>
          <w:bCs w:val="false"/>
          <w:sz w:val="24"/>
          <w:szCs w:val="24"/>
        </w:rPr>
        <w:t>4.2.2. Затраты на перебазировку техники, командировочные расходы при их наличии в договорной смете принимаются по подтверждающим документам, но не более суммы, предусмотренной сметным расчетом к договору.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567"/>
        <w:jc w:val="both"/>
        <w:rPr>
          <w:rFonts w:cs="Times New Roman"/>
          <w:b w:val="false"/>
          <w:bCs w:val="false"/>
          <w:sz w:val="24"/>
          <w:szCs w:val="24"/>
        </w:rPr>
      </w:pPr>
      <w:r>
        <w:rPr>
          <w:rFonts w:cs="Times New Roman"/>
          <w:b w:val="false"/>
          <w:bCs w:val="false"/>
          <w:sz w:val="24"/>
          <w:szCs w:val="24"/>
        </w:rPr>
        <w:t>4.2.3. Акт выполненных работ (КС-2) составляется подрядной организацией на основании договорной сметы.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567"/>
        <w:jc w:val="both"/>
        <w:rPr>
          <w:rFonts w:eastAsia="Calibri" w:cs="Times New Roman"/>
          <w:b w:val="false"/>
          <w:bCs w:val="false"/>
          <w:i w:val="false"/>
          <w:i w:val="false"/>
          <w:iCs w:val="false"/>
          <w:caps w:val="false"/>
          <w:smallCaps w:val="false"/>
          <w:color w:val="000000"/>
          <w:spacing w:val="0"/>
          <w:kern w:val="0"/>
          <w:sz w:val="24"/>
          <w:szCs w:val="24"/>
          <w:lang w:val="ru-RU" w:eastAsia="en-US" w:bidi="ar-SA"/>
        </w:rPr>
      </w:pPr>
      <w:r>
        <w:rPr/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567"/>
        <w:jc w:val="both"/>
        <w:rPr>
          <w:rFonts w:eastAsia="Calibri" w:cs="Times New Roman"/>
          <w:b w:val="false"/>
          <w:bCs w:val="false"/>
          <w:i w:val="false"/>
          <w:i w:val="false"/>
          <w:iCs w:val="false"/>
          <w:caps w:val="false"/>
          <w:smallCaps w:val="false"/>
          <w:color w:val="000000"/>
          <w:spacing w:val="0"/>
          <w:kern w:val="0"/>
          <w:sz w:val="24"/>
          <w:szCs w:val="24"/>
          <w:lang w:val="ru-RU" w:eastAsia="en-US" w:bidi="ar-SA"/>
        </w:rPr>
      </w:pPr>
      <w:r>
        <w:rPr/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keepLines/>
        <w:numPr>
          <w:ilvl w:val="0"/>
          <w:numId w:val="4"/>
        </w:numPr>
        <w:ind w:left="357" w:right="0" w:hanging="357"/>
        <w:jc w:val="center"/>
        <w:rPr>
          <w:rFonts w:ascii="Times New Roman" w:hAnsi="Times New Roman"/>
          <w:sz w:val="24"/>
          <w:szCs w:val="24"/>
        </w:rPr>
      </w:pPr>
      <w:bookmarkStart w:id="43" w:name="_Toc124252916"/>
      <w:bookmarkStart w:id="44" w:name="_Toc46743519"/>
      <w:bookmarkStart w:id="45" w:name="_Toc51339699"/>
      <w:r>
        <w:rPr>
          <w:iCs/>
          <w:sz w:val="24"/>
          <w:szCs w:val="24"/>
        </w:rPr>
        <w:t>Приложения</w:t>
      </w:r>
      <w:bookmarkEnd w:id="43"/>
      <w:bookmarkEnd w:id="44"/>
      <w:bookmarkEnd w:id="45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both"/>
        <w:rPr>
          <w:rFonts w:ascii="Times New Roman" w:hAnsi="Times New Roman"/>
          <w:b w:val="false"/>
          <w:bCs/>
          <w:i w:val="false"/>
          <w:i w:val="false"/>
          <w:iCs/>
          <w:sz w:val="24"/>
          <w:szCs w:val="24"/>
        </w:rPr>
      </w:pPr>
      <w:r>
        <w:rPr>
          <w:b w:val="false"/>
          <w:bCs/>
          <w:i w:val="false"/>
          <w:iCs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before="0" w:after="120"/>
        <w:ind w:left="454" w:right="0" w:hanging="0"/>
        <w:jc w:val="both"/>
        <w:rPr/>
      </w:pPr>
      <w:r>
        <w:rPr>
          <w:bCs/>
          <w:sz w:val="24"/>
          <w:szCs w:val="24"/>
        </w:rPr>
        <w:t xml:space="preserve">Приложение №1: Проектная документация </w:t>
      </w:r>
      <w:r>
        <w:rPr>
          <w:rFonts w:eastAsia="Times New Roman" w:cs="Times New Roman"/>
          <w:bCs/>
          <w:kern w:val="0"/>
          <w:sz w:val="24"/>
          <w:szCs w:val="24"/>
          <w:lang w:val="ru-RU" w:eastAsia="ru-RU" w:bidi="ar-SA"/>
        </w:rPr>
        <w:t>«</w:t>
      </w:r>
      <w:r>
        <w:rPr>
          <w:rFonts w:eastAsia="Calibri" w:cs="Times New Roman"/>
          <w:bCs/>
          <w:kern w:val="0"/>
          <w:sz w:val="24"/>
          <w:szCs w:val="24"/>
          <w:lang w:val="ru-RU" w:eastAsia="x-none" w:bidi="ar-SA"/>
        </w:rPr>
        <w:t>Строительство АДЭС-84 кВт в с. Марха Олекминского улуса».</w:t>
      </w:r>
    </w:p>
    <w:p>
      <w:pPr>
        <w:pStyle w:val="Normal"/>
        <w:widowControl/>
        <w:suppressAutoHyphens w:val="true"/>
        <w:bidi w:val="0"/>
        <w:spacing w:before="0" w:after="120"/>
        <w:ind w:left="454" w:right="0" w:hanging="0"/>
        <w:jc w:val="both"/>
        <w:rPr>
          <w:rFonts w:eastAsia="Calibri" w:cs="Times New Roman"/>
          <w:bCs/>
          <w:kern w:val="0"/>
          <w:sz w:val="24"/>
          <w:szCs w:val="24"/>
          <w:lang w:val="ru-RU" w:eastAsia="x-none" w:bidi="ar-SA"/>
        </w:rPr>
      </w:pPr>
      <w:r>
        <w:rPr>
          <w:rFonts w:eastAsia="Calibri" w:cs="Times New Roman"/>
          <w:bCs/>
          <w:kern w:val="0"/>
          <w:sz w:val="24"/>
          <w:szCs w:val="24"/>
          <w:lang w:val="ru-RU" w:eastAsia="x-none" w:bidi="ar-SA"/>
        </w:rPr>
        <w:t xml:space="preserve">Приложение №2: </w:t>
      </w:r>
      <w:r>
        <w:rPr>
          <w:rFonts w:eastAsia="Calibri" w:cs="Times New Roman"/>
          <w:bCs/>
          <w:kern w:val="0"/>
          <w:sz w:val="24"/>
          <w:szCs w:val="24"/>
          <w:lang w:val="ru-RU" w:eastAsia="x-none" w:bidi="ar-SA"/>
        </w:rPr>
        <w:t>Локальный</w:t>
      </w:r>
      <w:r>
        <w:rPr>
          <w:rFonts w:eastAsia="Calibri" w:cs="Times New Roman"/>
          <w:bCs/>
          <w:kern w:val="0"/>
          <w:sz w:val="24"/>
          <w:szCs w:val="24"/>
          <w:lang w:val="ru-RU" w:eastAsia="x-none" w:bidi="ar-SA"/>
        </w:rPr>
        <w:t xml:space="preserve"> сметный расчет.</w:t>
      </w:r>
    </w:p>
    <w:p>
      <w:pPr>
        <w:pStyle w:val="Normal"/>
        <w:widowControl/>
        <w:suppressAutoHyphens w:val="true"/>
        <w:bidi w:val="0"/>
        <w:spacing w:before="0" w:after="120"/>
        <w:ind w:left="454" w:right="0" w:hanging="0"/>
        <w:jc w:val="both"/>
        <w:rPr>
          <w:rFonts w:eastAsia="Calibri" w:cs="Times New Roman"/>
          <w:bCs/>
          <w:kern w:val="0"/>
          <w:sz w:val="24"/>
          <w:szCs w:val="24"/>
          <w:lang w:val="ru-RU" w:eastAsia="x-none" w:bidi="ar-SA"/>
        </w:rPr>
      </w:pPr>
      <w:r>
        <w:rPr>
          <w:rFonts w:eastAsia="Calibri" w:cs="Times New Roman"/>
          <w:bCs/>
          <w:kern w:val="0"/>
          <w:sz w:val="24"/>
          <w:szCs w:val="24"/>
          <w:lang w:val="ru-RU" w:eastAsia="x-none" w:bidi="ar-SA"/>
        </w:rPr>
        <w:t>Приложение №3: Регламент допуска подрядных организаций ИСМ РГ-00-017.03-23.</w:t>
      </w:r>
    </w:p>
    <w:p>
      <w:pPr>
        <w:pStyle w:val="Normal"/>
        <w:spacing w:before="0" w:after="1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rPr/>
      </w:pPr>
      <w:r>
        <w:rPr/>
      </w:r>
    </w:p>
    <w:sectPr>
      <w:headerReference w:type="default" r:id="rId6"/>
      <w:headerReference w:type="first" r:id="rId7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16</w:t>
    </w:r>
    <w:r>
      <w:rPr/>
      <w:fldChar w:fldCharType="end"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hanging="0"/>
      </w:pPr>
      <w:rPr/>
    </w:lvl>
  </w:abstractNum>
  <w:abstractNum w:abstractNumId="6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numPr>
        <w:ilvl w:val="0"/>
        <w:numId w:val="4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pPr>
      <w:keepNext w:val="true"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pPr>
      <w:numPr>
        <w:ilvl w:val="1"/>
        <w:numId w:val="4"/>
      </w:numPr>
      <w:outlineLvl w:val="3"/>
    </w:pPr>
    <w:rPr>
      <w:bCs/>
    </w:rPr>
  </w:style>
  <w:style w:type="paragraph" w:styleId="Heading5">
    <w:name w:val="Heading 5"/>
    <w:basedOn w:val="Normal"/>
    <w:next w:val="Normal"/>
    <w:link w:val="5"/>
    <w:qFormat/>
    <w:pPr>
      <w:numPr>
        <w:ilvl w:val="0"/>
        <w:numId w:val="0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numPr>
        <w:ilvl w:val="0"/>
        <w:numId w:val="0"/>
      </w:numPr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numPr>
        <w:ilvl w:val="0"/>
        <w:numId w:val="0"/>
      </w:numPr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numPr>
        <w:ilvl w:val="0"/>
        <w:numId w:val="0"/>
      </w:numPr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qFormat/>
    <w:pPr>
      <w:numPr>
        <w:ilvl w:val="0"/>
        <w:numId w:val="0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>
    <w:name w:val="Default Paragraph Font"/>
    <w:qFormat/>
    <w:rPr/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>
    <w:name w:val="Заголовок 6 Знак"/>
    <w:qFormat/>
    <w:rPr>
      <w:rFonts w:ascii="Cambria" w:hAnsi="Cambria"/>
      <w:i/>
      <w:iCs/>
      <w:color w:val="243F60"/>
      <w:lang w:val="x-none" w:eastAsia="x-none"/>
    </w:rPr>
  </w:style>
  <w:style w:type="character" w:styleId="7">
    <w:name w:val="Заголовок 7 Знак"/>
    <w:qFormat/>
    <w:rPr>
      <w:rFonts w:ascii="Cambria" w:hAnsi="Cambria"/>
      <w:i/>
      <w:iCs/>
      <w:color w:val="404040"/>
      <w:lang w:val="x-none" w:eastAsia="x-none"/>
    </w:rPr>
  </w:style>
  <w:style w:type="character" w:styleId="8">
    <w:name w:val="Заголовок 8 Знак"/>
    <w:qFormat/>
    <w:rPr>
      <w:rFonts w:ascii="Cambria" w:hAnsi="Cambria"/>
      <w:color w:val="4F81BD"/>
      <w:lang w:val="x-none" w:eastAsia="x-none"/>
    </w:rPr>
  </w:style>
  <w:style w:type="character" w:styleId="1">
    <w:name w:val="Заголовок 1 Знак"/>
    <w:qFormat/>
    <w:rPr>
      <w:rFonts w:eastAsia="Calibri"/>
      <w:b/>
      <w:sz w:val="28"/>
      <w:szCs w:val="28"/>
      <w:lang w:val="x-none" w:eastAsia="x-none"/>
    </w:rPr>
  </w:style>
  <w:style w:type="character" w:styleId="2">
    <w:name w:val="Заголовок 2 Знак"/>
    <w:qFormat/>
    <w:rPr>
      <w:rFonts w:eastAsia="Calibri"/>
      <w:b/>
      <w:bCs/>
      <w:sz w:val="24"/>
      <w:szCs w:val="24"/>
      <w:lang w:val="x-none" w:eastAsia="x-none"/>
    </w:rPr>
  </w:style>
  <w:style w:type="character" w:styleId="3">
    <w:name w:val="Заголовок 3 Знак"/>
    <w:qFormat/>
    <w:rPr>
      <w:rFonts w:eastAsia="Calibri"/>
      <w:b/>
      <w:sz w:val="24"/>
      <w:szCs w:val="24"/>
      <w:lang w:val="x-none" w:eastAsia="x-none"/>
    </w:rPr>
  </w:style>
  <w:style w:type="character" w:styleId="4">
    <w:name w:val="Заголовок 4 Знак"/>
    <w:qFormat/>
    <w:rPr>
      <w:rFonts w:eastAsia="Calibri"/>
      <w:b/>
      <w:bCs/>
      <w:sz w:val="24"/>
      <w:szCs w:val="24"/>
      <w:lang w:val="x-none" w:eastAsia="x-none"/>
    </w:rPr>
  </w:style>
  <w:style w:type="character" w:styleId="5">
    <w:name w:val="Заголовок 5 Знак"/>
    <w:qFormat/>
    <w:rPr>
      <w:b/>
      <w:bCs/>
      <w:i/>
      <w:iCs/>
      <w:sz w:val="26"/>
      <w:szCs w:val="26"/>
    </w:rPr>
  </w:style>
  <w:style w:type="character" w:styleId="9">
    <w:name w:val="Заголовок 9 Знак"/>
    <w:qFormat/>
    <w:rPr>
      <w:rFonts w:ascii="Arial" w:hAnsi="Arial" w:cs="Arial"/>
      <w:sz w:val="22"/>
      <w:szCs w:val="22"/>
    </w:rPr>
  </w:style>
  <w:style w:type="character" w:styleId="Style1">
    <w:name w:val="Название Знак"/>
    <w:link w:val="15"/>
    <w:qFormat/>
    <w:rPr>
      <w:sz w:val="28"/>
    </w:rPr>
  </w:style>
  <w:style w:type="character" w:styleId="Style2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qFormat/>
    <w:rPr>
      <w:i/>
      <w:iCs/>
    </w:rPr>
  </w:style>
  <w:style w:type="character" w:styleId="21">
    <w:name w:val="Цитата 2 Знак"/>
    <w:link w:val="Quote"/>
    <w:qFormat/>
    <w:rPr>
      <w:rFonts w:ascii="Calibri" w:hAnsi="Calibri" w:eastAsia="Calibri"/>
      <w:i/>
      <w:iCs/>
      <w:color w:val="000000"/>
      <w:lang w:val="x-none" w:eastAsia="x-none"/>
    </w:rPr>
  </w:style>
  <w:style w:type="character" w:styleId="Style3">
    <w:name w:val="Выделенная цитата Знак"/>
    <w:link w:val="IntenseQuote"/>
    <w:qFormat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4">
    <w:name w:val="Электронная подпись Знак"/>
    <w:link w:val="E-mailSignature"/>
    <w:qFormat/>
    <w:rPr>
      <w:rFonts w:eastAsia="Calibri"/>
      <w:sz w:val="24"/>
      <w:szCs w:val="24"/>
    </w:rPr>
  </w:style>
  <w:style w:type="character" w:styleId="11">
    <w:name w:val="Подпункт Знак1"/>
    <w:link w:val="Style23"/>
    <w:qFormat/>
    <w:rPr>
      <w:sz w:val="28"/>
    </w:rPr>
  </w:style>
  <w:style w:type="character" w:styleId="Style5">
    <w:name w:val="Текст сноски Знак"/>
    <w:qFormat/>
    <w:rPr/>
  </w:style>
  <w:style w:type="character" w:styleId="Style6">
    <w:name w:val="Основной текст Знак"/>
    <w:qFormat/>
    <w:rPr>
      <w:sz w:val="28"/>
      <w:szCs w:val="28"/>
    </w:rPr>
  </w:style>
  <w:style w:type="character" w:styleId="Blk">
    <w:name w:val="blk"/>
    <w:qFormat/>
    <w:rPr/>
  </w:style>
  <w:style w:type="character" w:styleId="Style7">
    <w:name w:val="Абзац списка Знак"/>
    <w:link w:val="ListParagraph"/>
    <w:qFormat/>
    <w:rPr>
      <w:rFonts w:eastAsia="Calibri"/>
      <w:sz w:val="24"/>
      <w:szCs w:val="24"/>
    </w:rPr>
  </w:style>
  <w:style w:type="character" w:styleId="Style8">
    <w:name w:val="комментарий"/>
    <w:qFormat/>
    <w:rPr>
      <w:b/>
      <w:i/>
      <w:shd w:fill="FFFF99" w:val="clear"/>
    </w:rPr>
  </w:style>
  <w:style w:type="character" w:styleId="Style9">
    <w:name w:val="Подподпункт Знак"/>
    <w:link w:val="Style31"/>
    <w:qFormat/>
    <w:rPr>
      <w:sz w:val="26"/>
      <w:szCs w:val="26"/>
    </w:rPr>
  </w:style>
  <w:style w:type="character" w:styleId="3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0">
    <w:name w:val="Верхний колонтитул Знак"/>
    <w:qFormat/>
    <w:rPr>
      <w:sz w:val="24"/>
      <w:szCs w:val="24"/>
    </w:rPr>
  </w:style>
  <w:style w:type="character" w:styleId="Style11">
    <w:name w:val="Текст примечания Знак"/>
    <w:link w:val="Annotationtext"/>
    <w:qFormat/>
    <w:rPr/>
  </w:style>
  <w:style w:type="character" w:styleId="Style12">
    <w:name w:val="Текст концевой сноски Знак"/>
    <w:basedOn w:val="DefaultParagraphFont"/>
    <w:qFormat/>
    <w:rPr/>
  </w:style>
  <w:style w:type="character" w:styleId="Style13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>
    <w:name w:val="Пункт2 Знак"/>
    <w:link w:val="24"/>
    <w:qFormat/>
    <w:rPr>
      <w:b/>
      <w:sz w:val="28"/>
    </w:rPr>
  </w:style>
  <w:style w:type="character" w:styleId="12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>
    <w:name w:val="Неразрешенное упоминание1"/>
    <w:basedOn w:val="DefaultParagraphFont"/>
    <w:qFormat/>
    <w:rPr>
      <w:color w:val="605E5C"/>
      <w:shd w:fill="E1DFDD" w:val="clear"/>
    </w:rPr>
  </w:style>
  <w:style w:type="character" w:styleId="32">
    <w:name w:val="Основной текст с отступом 3 Знак"/>
    <w:link w:val="BodyTextIndent3"/>
    <w:qFormat/>
    <w:rPr>
      <w:sz w:val="16"/>
      <w:szCs w:val="16"/>
    </w:rPr>
  </w:style>
  <w:style w:type="character" w:styleId="Style14">
    <w:name w:val="Текст выноски Знак"/>
    <w:link w:val="BalloonText"/>
    <w:qFormat/>
    <w:rPr>
      <w:rFonts w:ascii="Tahoma" w:hAnsi="Tahoma" w:cs="Tahoma"/>
      <w:sz w:val="16"/>
      <w:szCs w:val="16"/>
    </w:rPr>
  </w:style>
  <w:style w:type="character" w:styleId="Style15">
    <w:name w:val="Ссылка указателя"/>
    <w:qFormat/>
    <w:rPr/>
  </w:style>
  <w:style w:type="character" w:styleId="Style16">
    <w:name w:val="Символ нумерации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Название раздела инструкции"/>
    <w:basedOn w:val="Normal"/>
    <w:autoRedefine/>
    <w:qFormat/>
    <w:pPr>
      <w:jc w:val="center"/>
    </w:pPr>
    <w:rPr>
      <w:b/>
    </w:rPr>
  </w:style>
  <w:style w:type="paragraph" w:styleId="Style20">
    <w:name w:val="Раздел положения"/>
    <w:basedOn w:val="Normal"/>
    <w:autoRedefine/>
    <w:qFormat/>
    <w:pPr>
      <w:numPr>
        <w:ilvl w:val="0"/>
        <w:numId w:val="2"/>
      </w:numPr>
      <w:spacing w:before="80" w:after="80"/>
      <w:jc w:val="center"/>
    </w:pPr>
    <w:rPr>
      <w:b/>
      <w:sz w:val="32"/>
      <w:szCs w:val="32"/>
    </w:rPr>
  </w:style>
  <w:style w:type="paragraph" w:styleId="Style21">
    <w:name w:val="Подраздел раздела положения"/>
    <w:basedOn w:val="Normal"/>
    <w:autoRedefine/>
    <w:qFormat/>
    <w:pPr>
      <w:numPr>
        <w:ilvl w:val="1"/>
        <w:numId w:val="2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pPr/>
    <w:rPr>
      <w:sz w:val="20"/>
      <w:szCs w:val="20"/>
    </w:rPr>
  </w:style>
  <w:style w:type="paragraph" w:styleId="14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>
    <w:name w:val="Название1"/>
    <w:basedOn w:val="Normal"/>
    <w:link w:val="Style1"/>
    <w:qFormat/>
    <w:pPr>
      <w:jc w:val="center"/>
    </w:pPr>
    <w:rPr>
      <w:szCs w:val="20"/>
      <w:lang w:val="x-none" w:eastAsia="x-none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right="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right="0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right="0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3">
    <w:name w:val="Подпункт"/>
    <w:basedOn w:val="Normal"/>
    <w:link w:val="11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right="0" w:hanging="1134"/>
      <w:jc w:val="both"/>
    </w:pPr>
    <w:rPr>
      <w:szCs w:val="20"/>
      <w:lang w:val="x-none" w:eastAsia="x-none"/>
    </w:rPr>
  </w:style>
  <w:style w:type="paragraph" w:styleId="24">
    <w:name w:val="Пункт2"/>
    <w:basedOn w:val="Normal"/>
    <w:link w:val="22"/>
    <w:qFormat/>
    <w:pPr>
      <w:keepNext w:val="true"/>
      <w:numPr>
        <w:ilvl w:val="0"/>
        <w:numId w:val="0"/>
      </w:numPr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right="0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pPr>
      <w:tabs>
        <w:tab w:val="clear" w:pos="708"/>
        <w:tab w:val="left" w:pos="1120" w:leader="none"/>
        <w:tab w:val="right" w:pos="9911" w:leader="dot"/>
      </w:tabs>
      <w:ind w:left="567" w:right="0" w:hanging="0"/>
    </w:pPr>
    <w:rPr>
      <w:rFonts w:cs="Calibri"/>
      <w:sz w:val="20"/>
      <w:szCs w:val="20"/>
    </w:rPr>
  </w:style>
  <w:style w:type="paragraph" w:styleId="Style24">
    <w:name w:val="Раздел регламента"/>
    <w:basedOn w:val="Normal"/>
    <w:qFormat/>
    <w:pPr/>
    <w:rPr/>
  </w:style>
  <w:style w:type="paragraph" w:styleId="Style25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autoRedefine/>
    <w:pPr>
      <w:spacing w:before="240" w:after="0"/>
    </w:pPr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link w:val="Style14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16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pPr>
      <w:ind w:left="1960" w:right="0" w:hanging="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next w:val="Normal"/>
    <w:autoRedefine/>
    <w:pPr>
      <w:ind w:left="840" w:right="0" w:hanging="0"/>
    </w:pPr>
    <w:rPr>
      <w:rFonts w:ascii="Calibri" w:hAnsi="Calibri" w:cs="Calibri"/>
      <w:sz w:val="20"/>
      <w:szCs w:val="20"/>
    </w:rPr>
  </w:style>
  <w:style w:type="paragraph" w:styleId="TOC4">
    <w:name w:val="TOC 4"/>
    <w:basedOn w:val="Normal"/>
    <w:next w:val="Normal"/>
    <w:autoRedefine/>
    <w:pPr>
      <w:tabs>
        <w:tab w:val="clear" w:pos="708"/>
        <w:tab w:val="left" w:pos="1120" w:leader="none"/>
        <w:tab w:val="right" w:pos="9911" w:leader="dot"/>
      </w:tabs>
      <w:ind w:left="567" w:right="0" w:hanging="0"/>
    </w:pPr>
    <w:rPr>
      <w:rFonts w:cs="Calibri"/>
      <w:sz w:val="20"/>
      <w:szCs w:val="20"/>
    </w:rPr>
  </w:style>
  <w:style w:type="paragraph" w:styleId="25">
    <w:name w:val="Раздел положения 2"/>
    <w:basedOn w:val="Normal"/>
    <w:qFormat/>
    <w:pPr>
      <w:pageBreakBefore/>
      <w:numPr>
        <w:ilvl w:val="0"/>
        <w:numId w:val="0"/>
      </w:numPr>
      <w:jc w:val="both"/>
      <w:outlineLvl w:val="0"/>
    </w:pPr>
    <w:rPr>
      <w:b/>
    </w:rPr>
  </w:style>
  <w:style w:type="paragraph" w:styleId="Style26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Caption1">
    <w:name w:val="caption1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qFormat/>
    <w:pPr>
      <w:numPr>
        <w:ilvl w:val="0"/>
        <w:numId w:val="0"/>
      </w:numPr>
      <w:ind w:left="1066" w:right="0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qFormat/>
    <w:pPr>
      <w:spacing w:before="0" w:after="0"/>
      <w:ind w:left="720" w:right="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qFormat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qFormat/>
    <w:pPr/>
    <w:rPr>
      <w:rFonts w:eastAsia="Calibri"/>
      <w:sz w:val="24"/>
      <w:szCs w:val="24"/>
      <w:lang w:val="x-none" w:eastAsia="x-none"/>
    </w:rPr>
  </w:style>
  <w:style w:type="paragraph" w:styleId="Style27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>
    <w:name w:val="Нумерованный список ур3"/>
    <w:basedOn w:val="Normal"/>
    <w:qFormat/>
    <w:pPr>
      <w:numPr>
        <w:ilvl w:val="2"/>
        <w:numId w:val="3"/>
      </w:numPr>
      <w:jc w:val="both"/>
    </w:pPr>
    <w:rPr>
      <w:rFonts w:ascii="Garamond" w:hAnsi="Garamond"/>
      <w:sz w:val="24"/>
      <w:szCs w:val="20"/>
    </w:rPr>
  </w:style>
  <w:style w:type="paragraph" w:styleId="ListBullet4">
    <w:name w:val="List Bullet 4"/>
    <w:basedOn w:val="Normal"/>
    <w:qFormat/>
    <w:pPr>
      <w:numPr>
        <w:ilvl w:val="0"/>
        <w:numId w:val="3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>
    <w:name w:val="Нумерованный список ур2"/>
    <w:basedOn w:val="Normal"/>
    <w:qFormat/>
    <w:pPr>
      <w:numPr>
        <w:ilvl w:val="1"/>
        <w:numId w:val="3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>
    <w:name w:val="ConsPlusNormal"/>
    <w:qFormat/>
    <w:pPr>
      <w:widowControl w:val="false"/>
      <w:suppressAutoHyphens w:val="true"/>
      <w:kinsoku w:val="true"/>
      <w:overflowPunct w:val="true"/>
      <w:autoSpaceDE w:val="tru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>
    <w:name w:val="Абзац списка1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9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0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1">
    <w:name w:val="Подподпункт"/>
    <w:basedOn w:val="Style23"/>
    <w:link w:val="Style9"/>
    <w:qFormat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right="0" w:hanging="567"/>
    </w:pPr>
    <w:rPr>
      <w:sz w:val="26"/>
      <w:szCs w:val="26"/>
      <w:lang w:val="ru-RU" w:eastAsia="ru-RU"/>
    </w:rPr>
  </w:style>
  <w:style w:type="paragraph" w:styleId="Style32">
    <w:name w:val="УРОВЕНЬ_(а)"/>
    <w:basedOn w:val="ListParagraph"/>
    <w:qFormat/>
    <w:pPr>
      <w:numPr>
        <w:ilvl w:val="3"/>
        <w:numId w:val="5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>
    <w:name w:val="УРОВЕНЬ_-"/>
    <w:basedOn w:val="ListParagraph"/>
    <w:qFormat/>
    <w:pPr>
      <w:numPr>
        <w:ilvl w:val="4"/>
        <w:numId w:val="5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>
    <w:name w:val="УРОВЕНЬ_Абзац_тип2"/>
    <w:basedOn w:val="ListParagraph"/>
    <w:qFormat/>
    <w:pPr>
      <w:numPr>
        <w:ilvl w:val="6"/>
        <w:numId w:val="5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>
    <w:name w:val="УРОВЕНЬ_Абзац_тип3"/>
    <w:basedOn w:val="ListParagraph"/>
    <w:link w:val="31"/>
    <w:qFormat/>
    <w:pPr>
      <w:numPr>
        <w:ilvl w:val="7"/>
        <w:numId w:val="5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3">
    <w:name w:val="УРОВЕНЬ_Подпись"/>
    <w:basedOn w:val="ListParagraph"/>
    <w:qFormat/>
    <w:pPr>
      <w:keepNext w:val="true"/>
      <w:numPr>
        <w:ilvl w:val="5"/>
        <w:numId w:val="5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8"/>
        <w:tab w:val="left" w:pos="567" w:leader="none"/>
      </w:tabs>
      <w:suppressAutoHyphens w:val="true"/>
      <w:spacing w:before="480" w:after="240"/>
      <w:ind w:left="567" w:right="0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pPr/>
    <w:rPr>
      <w:sz w:val="20"/>
      <w:szCs w:val="20"/>
    </w:rPr>
  </w:style>
  <w:style w:type="paragraph" w:styleId="28">
    <w:name w:val="Заголовок 2 КВВ"/>
    <w:basedOn w:val="Normal"/>
    <w:qFormat/>
    <w:pPr>
      <w:keepNext w:val="true"/>
      <w:numPr>
        <w:ilvl w:val="0"/>
        <w:numId w:val="6"/>
      </w:numPr>
      <w:suppressAutoHyphens w:val="true"/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4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19">
    <w:name w:val="УРОВЕНЬ_1."/>
    <w:basedOn w:val="ListParagraph"/>
    <w:link w:val="12"/>
    <w:qFormat/>
    <w:pPr>
      <w:keepNext w:val="true"/>
      <w:keepLines/>
      <w:numPr>
        <w:ilvl w:val="0"/>
        <w:numId w:val="0"/>
      </w:numPr>
      <w:spacing w:lineRule="auto" w:line="276" w:before="240" w:after="120"/>
      <w:ind w:left="0" w:righ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pPr>
      <w:ind w:left="1120" w:right="0" w:hanging="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autoRedefine/>
    <w:pPr>
      <w:ind w:left="1400" w:right="0" w:hanging="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autoRedefine/>
    <w:pPr>
      <w:ind w:left="1680" w:right="0" w:hanging="0"/>
    </w:pPr>
    <w:rPr>
      <w:rFonts w:ascii="Calibri" w:hAnsi="Calibri" w:cs="Calibri"/>
      <w:sz w:val="20"/>
      <w:szCs w:val="20"/>
    </w:rPr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Содержимое таблицы"/>
    <w:basedOn w:val="Normal"/>
    <w:qFormat/>
    <w:pPr>
      <w:widowControl w:val="false"/>
      <w:suppressLineNumbers/>
    </w:pPr>
    <w:rPr/>
  </w:style>
  <w:style w:type="paragraph" w:styleId="Style37">
    <w:name w:val="Заголовок таблицы"/>
    <w:basedOn w:val="Style36"/>
    <w:qFormat/>
    <w:pPr>
      <w:suppressLineNumbers/>
      <w:jc w:val="center"/>
    </w:pPr>
    <w:rPr>
      <w:b/>
      <w:bCs/>
    </w:rPr>
  </w:style>
  <w:style w:type="numbering" w:styleId="110">
    <w:name w:val="Стиль1"/>
    <w:qFormat/>
  </w:style>
  <w:style w:type="numbering" w:styleId="29">
    <w:name w:val="Стиль2"/>
    <w:qFormat/>
  </w:style>
  <w:style w:type="numbering" w:styleId="31301550521">
    <w:name w:val="31301550521"/>
    <w:qFormat/>
  </w:style>
  <w:style w:type="numbering" w:styleId="29954116391">
    <w:name w:val="2995411639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4635</TotalTime>
  <Application>AlterOffice/2025.3.0.0$Linux_X86_64 LibreOffice_project/4ba31b6a4271509a884f95065d0a726e9cb2bdbb</Application>
  <AppVersion>15.0000</AppVersion>
  <Pages>15</Pages>
  <Words>3494</Words>
  <Characters>24534</Characters>
  <CharactersWithSpaces>27621</CharactersWithSpaces>
  <Paragraphs>414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2021-04-04T09:36:00Z</dcterms:created>
  <dc:creator>Быстров Олег Геннадьевич</dc:creator>
  <dc:description/>
  <dc:language>ru-RU</dc:language>
  <cp:lastModifiedBy>karzonovda@sed.local</cp:lastModifiedBy>
  <cp:lastPrinted>2025-05-12T14:14:48Z</cp:lastPrinted>
  <dcterms:modified xsi:type="dcterms:W3CDTF">2026-06-05T08:22:52Z</dcterms:modified>
  <cp:revision>124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